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b/>
          <w:bCs/>
          <w:sz w:val="24"/>
          <w:szCs w:val="32"/>
          <w:lang w:val="en-US" w:eastAsia="zh-CN"/>
        </w:rPr>
      </w:pPr>
      <w:r>
        <w:rPr>
          <w:rFonts w:hint="eastAsia"/>
          <w:b/>
          <w:bCs/>
          <w:sz w:val="24"/>
          <w:szCs w:val="32"/>
          <w:lang w:val="en-US" w:eastAsia="zh-CN"/>
        </w:rPr>
        <w:t>温州经开项目吊索技术要求</w:t>
      </w:r>
    </w:p>
    <w:p>
      <w:pPr>
        <w:spacing w:line="360" w:lineRule="auto"/>
        <w:ind w:firstLine="420" w:firstLineChars="200"/>
        <w:rPr>
          <w:rFonts w:hint="default"/>
          <w:lang w:val="en-US" w:eastAsia="zh-CN"/>
        </w:rPr>
      </w:pPr>
      <w:r>
        <w:rPr>
          <w:rFonts w:hint="eastAsia"/>
          <w:lang w:val="en-US" w:eastAsia="zh-CN"/>
        </w:rPr>
        <w:t>本次招标吊索及附件用于温州经济技术开发区滨海核心区市政基础设施工程（二标段）金海四道三号桥、金海四道四号桥、滨海十三路一号桥、滨海十三路二号桥，技术要求如下：</w:t>
      </w:r>
    </w:p>
    <w:p>
      <w:pPr>
        <w:numPr>
          <w:ilvl w:val="0"/>
          <w:numId w:val="1"/>
        </w:numPr>
        <w:spacing w:line="360" w:lineRule="auto"/>
        <w:ind w:firstLine="420" w:firstLineChars="200"/>
        <w:rPr>
          <w:rFonts w:hint="default"/>
          <w:lang w:val="en-US" w:eastAsia="zh-CN"/>
        </w:rPr>
      </w:pPr>
      <w:r>
        <w:rPr>
          <w:rFonts w:hint="default"/>
          <w:lang w:val="en-US" w:eastAsia="zh-CN"/>
        </w:rPr>
        <w:t>吊索索体及锚具均采用定型产品。</w:t>
      </w:r>
    </w:p>
    <w:p>
      <w:pPr>
        <w:numPr>
          <w:ilvl w:val="0"/>
          <w:numId w:val="1"/>
        </w:numPr>
        <w:spacing w:line="360" w:lineRule="auto"/>
        <w:ind w:firstLine="420" w:firstLineChars="200"/>
        <w:rPr>
          <w:rFonts w:hint="default"/>
          <w:lang w:val="en-US" w:eastAsia="zh-CN"/>
        </w:rPr>
      </w:pPr>
      <w:r>
        <w:t>吊杆索体基材采用力学及物理性能符合国家标准GB/T 5224的1×7型钢绞线，每股公称面积140mm²,公称抗拉强度1860MPa,弹性模量1.95×105Mpa,且应为满足国家标准GB/T25823的单丝涂覆环氧涂层预应力钢统线或行业标准JT/T 737的填充型环氧涂层钢统线</w:t>
      </w:r>
      <w:r>
        <w:rPr>
          <w:rFonts w:hint="eastAsia"/>
          <w:lang w:val="en-US" w:eastAsia="zh-CN"/>
        </w:rPr>
        <w:t>。</w:t>
      </w:r>
    </w:p>
    <w:p>
      <w:pPr>
        <w:numPr>
          <w:ilvl w:val="0"/>
          <w:numId w:val="1"/>
        </w:numPr>
        <w:spacing w:line="360" w:lineRule="auto"/>
        <w:ind w:firstLine="420" w:firstLineChars="200"/>
        <w:rPr>
          <w:rFonts w:hint="default"/>
          <w:lang w:val="en-US" w:eastAsia="zh-CN"/>
        </w:rPr>
      </w:pPr>
      <w:r>
        <w:t>单根环氧钢绞线应缠包高强聚酯带或挤塑型高密度聚乙烯树脂进行防腐</w:t>
      </w:r>
      <w:r>
        <w:rPr>
          <w:rFonts w:hint="eastAsia"/>
          <w:lang w:eastAsia="zh-CN"/>
        </w:rPr>
        <w:t>。</w:t>
      </w:r>
    </w:p>
    <w:p>
      <w:pPr>
        <w:numPr>
          <w:ilvl w:val="0"/>
          <w:numId w:val="1"/>
        </w:numPr>
        <w:spacing w:line="360" w:lineRule="auto"/>
        <w:ind w:firstLine="420" w:firstLineChars="200"/>
        <w:rPr>
          <w:rFonts w:hint="default"/>
          <w:lang w:val="en-US" w:eastAsia="zh-CN"/>
        </w:rPr>
      </w:pPr>
      <w:r>
        <w:t>吊杆索体外层采用HDPE护套，性能应满足《斜拉桥热挤聚乙烯高强钢丝拉索技术条件》(GB/T 18365)和《桥梁缆索用高密度聚乙烯护套料》(CJ/T 297)中的相关要求，护套颜色由建设单位指定</w:t>
      </w:r>
      <w:r>
        <w:rPr>
          <w:rFonts w:hint="eastAsia"/>
          <w:color w:val="auto"/>
          <w:lang w:val="en-US" w:eastAsia="zh-CN"/>
        </w:rPr>
        <w:t>。</w:t>
      </w:r>
    </w:p>
    <w:p>
      <w:pPr>
        <w:numPr>
          <w:ilvl w:val="0"/>
          <w:numId w:val="1"/>
        </w:numPr>
        <w:spacing w:line="360" w:lineRule="auto"/>
        <w:ind w:firstLine="420" w:firstLineChars="200"/>
        <w:rPr>
          <w:rFonts w:hint="default"/>
          <w:lang w:val="en-US" w:eastAsia="zh-CN"/>
        </w:rPr>
      </w:pPr>
      <w:r>
        <w:rPr>
          <w:rFonts w:hint="eastAsia"/>
          <w:lang w:val="en-US" w:eastAsia="zh-CN"/>
        </w:rPr>
        <w:t>锚具静载性能及疲劳性能满足《预应力筋用锚具、夹具和连接器》(GB/T 14370)和FIP《斜拉索设计、试验与安装条例》的要求，并应设有球铰或类似可适应系杆微小转动的构造；吊杆锚具构造要满足调整索力及系杆更换的需要；拉索锚具组件表面镀锌处理，锚具叉耳表面采用热镀锌处理。建议采用符合行业标准JT/T850的整束挤压锚固钢绞线拉索体系或同类产品。吊杆锚固、张拉端均采用一整套密闭的防水系统，避免雨水进入索套管内。</w:t>
      </w:r>
    </w:p>
    <w:p>
      <w:pPr>
        <w:numPr>
          <w:ilvl w:val="0"/>
          <w:numId w:val="1"/>
        </w:numPr>
        <w:spacing w:line="360" w:lineRule="auto"/>
        <w:ind w:firstLine="420" w:firstLineChars="200"/>
        <w:rPr>
          <w:rFonts w:hint="default"/>
          <w:lang w:val="en-US" w:eastAsia="zh-CN"/>
        </w:rPr>
      </w:pPr>
      <w:r>
        <w:t>拉索在梁端张拉，并应保证上、下耳板的轴线与拉索的轴线同轴，避免由于上下耳板轴线与拉索轴线不同轴对拉索产生附加的弯曲应力，影响拉索寿命</w:t>
      </w:r>
      <w:r>
        <w:rPr>
          <w:rFonts w:hint="eastAsia"/>
          <w:lang w:eastAsia="zh-CN"/>
        </w:rPr>
        <w:t>。</w:t>
      </w:r>
      <w:r>
        <w:rPr>
          <w:rFonts w:hint="eastAsia"/>
          <w:lang w:val="en-US" w:eastAsia="zh-CN"/>
        </w:rPr>
        <w:t>调节套筒调节量应大于100mm。</w:t>
      </w:r>
      <w:bookmarkStart w:id="0" w:name="_GoBack"/>
      <w:bookmarkEnd w:id="0"/>
    </w:p>
    <w:p>
      <w:pPr>
        <w:numPr>
          <w:ilvl w:val="0"/>
          <w:numId w:val="1"/>
        </w:numPr>
        <w:spacing w:line="360" w:lineRule="auto"/>
        <w:ind w:firstLine="420" w:firstLineChars="200"/>
        <w:rPr>
          <w:rFonts w:hint="default"/>
          <w:lang w:val="en-US" w:eastAsia="zh-CN"/>
        </w:rPr>
      </w:pPr>
      <w:r>
        <w:t>吊杆应采用成品环氧钢统线吊杆，包含索体，环氧涂层及配套的护套等。表中重量仅计入钢绞线材料重量，未包含涂层及索套等结构</w:t>
      </w:r>
      <w:r>
        <w:rPr>
          <w:rFonts w:hint="eastAsia"/>
          <w:lang w:eastAsia="zh-CN"/>
        </w:rPr>
        <w:t>。</w:t>
      </w:r>
    </w:p>
    <w:p>
      <w:pPr>
        <w:numPr>
          <w:ilvl w:val="0"/>
          <w:numId w:val="1"/>
        </w:numPr>
        <w:spacing w:line="360" w:lineRule="auto"/>
        <w:ind w:firstLine="420" w:firstLineChars="200"/>
        <w:rPr>
          <w:rFonts w:hint="default"/>
          <w:lang w:val="en-US" w:eastAsia="zh-CN"/>
        </w:rPr>
      </w:pPr>
      <w:r>
        <w:rPr>
          <w:rFonts w:hint="eastAsia"/>
          <w:lang w:val="en-US" w:eastAsia="zh-CN"/>
        </w:rPr>
        <w:t>吊索锚头、调节套筒、PE护套、防水罩、热缩带等均为工厂定型产品，其使用寿命应与索体结构保持一致。</w:t>
      </w:r>
    </w:p>
    <w:p>
      <w:pPr>
        <w:numPr>
          <w:ilvl w:val="0"/>
          <w:numId w:val="1"/>
        </w:numPr>
        <w:spacing w:line="360" w:lineRule="auto"/>
        <w:ind w:firstLine="420" w:firstLineChars="200"/>
        <w:rPr>
          <w:rFonts w:hint="default"/>
          <w:lang w:val="en-US" w:eastAsia="zh-CN"/>
        </w:rPr>
      </w:pPr>
      <w:r>
        <w:t>吊杆编号见拱肋构造图，钢结构安装后应实测并复核吊杆长度后再下料</w:t>
      </w:r>
      <w:r>
        <w:rPr>
          <w:rFonts w:hint="eastAsia"/>
          <w:lang w:eastAsia="zh-CN"/>
        </w:rPr>
        <w:t>。</w:t>
      </w:r>
    </w:p>
    <w:p>
      <w:pPr>
        <w:spacing w:line="360" w:lineRule="auto"/>
        <w:rPr>
          <w:rFonts w:hint="eastAsia"/>
          <w:lang w:val="en-US" w:eastAsia="zh-CN"/>
        </w:rPr>
      </w:pPr>
      <w:r>
        <w:rPr>
          <w:rFonts w:hint="eastAsia"/>
          <w:lang w:val="en-US" w:eastAsia="zh-CN"/>
        </w:rPr>
        <w:t>吊索产品检验项目应按下表执行（JT/T 449-2021）：</w:t>
      </w:r>
    </w:p>
    <w:tbl>
      <w:tblPr>
        <w:tblStyle w:val="3"/>
        <w:tblW w:w="8058" w:type="dxa"/>
        <w:tblInd w:w="0" w:type="dxa"/>
        <w:shd w:val="clear" w:color="auto" w:fill="auto"/>
        <w:tblLayout w:type="fixed"/>
        <w:tblCellMar>
          <w:top w:w="0" w:type="dxa"/>
          <w:left w:w="0" w:type="dxa"/>
          <w:bottom w:w="0" w:type="dxa"/>
          <w:right w:w="0" w:type="dxa"/>
        </w:tblCellMar>
      </w:tblPr>
      <w:tblGrid>
        <w:gridCol w:w="428"/>
        <w:gridCol w:w="2039"/>
        <w:gridCol w:w="1487"/>
        <w:gridCol w:w="1352"/>
        <w:gridCol w:w="1425"/>
        <w:gridCol w:w="1327"/>
      </w:tblGrid>
      <w:tr>
        <w:tblPrEx>
          <w:tblCellMar>
            <w:top w:w="0" w:type="dxa"/>
            <w:left w:w="0" w:type="dxa"/>
            <w:bottom w:w="0" w:type="dxa"/>
            <w:right w:w="0" w:type="dxa"/>
          </w:tblCellMar>
        </w:tblPrEx>
        <w:trPr>
          <w:trHeight w:val="420"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MingLiU" w:hAnsi="MingLiU" w:eastAsia="MingLiU" w:cs="MingLiU"/>
                <w:i w:val="0"/>
                <w:color w:val="000000"/>
                <w:sz w:val="16"/>
                <w:szCs w:val="16"/>
                <w:u w:val="none"/>
              </w:rPr>
            </w:pPr>
            <w:r>
              <w:rPr>
                <w:rStyle w:val="5"/>
                <w:lang w:val="en-US" w:eastAsia="zh-CN" w:bidi="ar"/>
              </w:rPr>
              <w:t>序号</w:t>
            </w: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MingLiU" w:hAnsi="MingLiU" w:eastAsia="MingLiU" w:cs="MingLiU"/>
                <w:i w:val="0"/>
                <w:color w:val="000000"/>
                <w:sz w:val="16"/>
                <w:szCs w:val="16"/>
                <w:u w:val="none"/>
              </w:rPr>
            </w:pPr>
            <w:r>
              <w:rPr>
                <w:rStyle w:val="5"/>
                <w:lang w:val="en-US" w:eastAsia="zh-CN" w:bidi="ar"/>
              </w:rPr>
              <w:t>检验项目</w:t>
            </w:r>
          </w:p>
        </w:tc>
        <w:tc>
          <w:tcPr>
            <w:tcW w:w="14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MingLiU" w:hAnsi="MingLiU" w:eastAsia="MingLiU" w:cs="MingLiU"/>
                <w:i w:val="0"/>
                <w:color w:val="000000"/>
                <w:sz w:val="16"/>
                <w:szCs w:val="16"/>
                <w:u w:val="none"/>
              </w:rPr>
            </w:pPr>
            <w:r>
              <w:rPr>
                <w:rStyle w:val="5"/>
                <w:lang w:val="en-US" w:eastAsia="zh-CN" w:bidi="ar"/>
              </w:rPr>
              <w:t>技术要求</w:t>
            </w:r>
          </w:p>
        </w:tc>
        <w:tc>
          <w:tcPr>
            <w:tcW w:w="135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MingLiU" w:hAnsi="MingLiU" w:eastAsia="MingLiU" w:cs="MingLiU"/>
                <w:i w:val="0"/>
                <w:color w:val="000000"/>
                <w:sz w:val="16"/>
                <w:szCs w:val="16"/>
                <w:u w:val="none"/>
              </w:rPr>
            </w:pPr>
            <w:r>
              <w:rPr>
                <w:rStyle w:val="5"/>
                <w:lang w:val="en-US" w:eastAsia="zh-CN" w:bidi="ar"/>
              </w:rPr>
              <w:t>试验方法</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型式检验</w:t>
            </w:r>
          </w:p>
        </w:tc>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岀厂检验</w:t>
            </w:r>
          </w:p>
        </w:tc>
      </w:tr>
      <w:tr>
        <w:tblPrEx>
          <w:tblCellMar>
            <w:top w:w="0" w:type="dxa"/>
            <w:left w:w="0" w:type="dxa"/>
            <w:bottom w:w="0" w:type="dxa"/>
            <w:right w:w="0" w:type="dxa"/>
          </w:tblCellMar>
        </w:tblPrEx>
        <w:trPr>
          <w:trHeight w:val="264"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1</w:t>
            </w: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拉索外观</w:t>
            </w:r>
          </w:p>
        </w:tc>
        <w:tc>
          <w:tcPr>
            <w:tcW w:w="14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Style w:val="7"/>
                <w:rFonts w:hint="default" w:eastAsia="宋体"/>
                <w:lang w:val="en-US" w:eastAsia="zh-CN" w:bidi="ar"/>
              </w:rPr>
            </w:pPr>
            <w:r>
              <w:rPr>
                <w:rStyle w:val="7"/>
                <w:rFonts w:hint="eastAsia" w:eastAsia="宋体"/>
                <w:lang w:val="en-US" w:eastAsia="zh-CN" w:bidi="ar"/>
              </w:rPr>
              <w:t>5.2.1.1</w:t>
            </w:r>
          </w:p>
        </w:tc>
        <w:tc>
          <w:tcPr>
            <w:tcW w:w="135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lang w:val="en-US"/>
              </w:rPr>
            </w:pPr>
            <w:r>
              <w:rPr>
                <w:rStyle w:val="7"/>
                <w:rFonts w:hint="eastAsia" w:eastAsia="宋体"/>
                <w:lang w:val="en-US" w:eastAsia="zh-CN" w:bidi="ar"/>
              </w:rPr>
              <w:t>6.2.1</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黑体" w:hAnsi="黑体" w:eastAsia="黑体" w:cs="黑体"/>
                <w:b/>
                <w:bCs/>
                <w:i w:val="0"/>
                <w:color w:val="auto"/>
                <w:sz w:val="16"/>
                <w:szCs w:val="16"/>
                <w:u w:val="none"/>
                <w:lang w:val="en-US" w:eastAsia="zh-CN"/>
              </w:rPr>
            </w:pPr>
            <w:r>
              <w:rPr>
                <w:rFonts w:hint="eastAsia" w:ascii="黑体" w:hAnsi="黑体" w:eastAsia="黑体" w:cs="黑体"/>
                <w:b/>
                <w:bCs/>
                <w:i w:val="0"/>
                <w:color w:val="auto"/>
                <w:sz w:val="16"/>
                <w:szCs w:val="16"/>
                <w:u w:val="none"/>
                <w:lang w:val="en-US" w:eastAsia="zh-CN"/>
              </w:rPr>
              <w:t>+</w:t>
            </w:r>
          </w:p>
        </w:tc>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黑体" w:hAnsi="黑体" w:eastAsia="黑体" w:cs="黑体"/>
                <w:i w:val="0"/>
                <w:color w:val="000000"/>
                <w:sz w:val="16"/>
                <w:szCs w:val="16"/>
                <w:u w:val="none"/>
              </w:rPr>
            </w:pPr>
            <w:r>
              <w:rPr>
                <w:rFonts w:hint="eastAsia" w:ascii="黑体" w:hAnsi="黑体" w:eastAsia="黑体" w:cs="黑体"/>
                <w:b/>
                <w:bCs/>
                <w:i w:val="0"/>
                <w:color w:val="auto"/>
                <w:sz w:val="16"/>
                <w:szCs w:val="16"/>
                <w:u w:val="none"/>
                <w:lang w:val="en-US" w:eastAsia="zh-CN"/>
              </w:rPr>
              <w:t>+</w:t>
            </w:r>
          </w:p>
        </w:tc>
      </w:tr>
      <w:tr>
        <w:tblPrEx>
          <w:tblCellMar>
            <w:top w:w="0" w:type="dxa"/>
            <w:left w:w="0" w:type="dxa"/>
            <w:bottom w:w="0" w:type="dxa"/>
            <w:right w:w="0" w:type="dxa"/>
          </w:tblCellMar>
        </w:tblPrEx>
        <w:trPr>
          <w:trHeight w:val="264"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2</w:t>
            </w: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sz w:val="16"/>
                <w:szCs w:val="16"/>
                <w:u w:val="none"/>
                <w:lang w:val="en-US" w:eastAsia="zh-CN"/>
              </w:rPr>
            </w:pPr>
            <w:r>
              <w:rPr>
                <w:rFonts w:hint="eastAsia" w:ascii="宋体" w:hAnsi="宋体" w:eastAsia="宋体" w:cs="宋体"/>
                <w:i w:val="0"/>
                <w:color w:val="000000"/>
                <w:sz w:val="16"/>
                <w:szCs w:val="16"/>
                <w:u w:val="none"/>
                <w:lang w:val="en-US" w:eastAsia="zh-CN"/>
              </w:rPr>
              <w:t>护套厚度</w:t>
            </w:r>
          </w:p>
        </w:tc>
        <w:tc>
          <w:tcPr>
            <w:tcW w:w="14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lang w:val="en-US" w:eastAsia="zh-CN"/>
              </w:rPr>
            </w:pPr>
            <w:r>
              <w:rPr>
                <w:rFonts w:hint="eastAsia" w:ascii="Times New Roman" w:hAnsi="Times New Roman" w:eastAsia="宋体" w:cs="Times New Roman"/>
                <w:b/>
                <w:i w:val="0"/>
                <w:color w:val="000000"/>
                <w:sz w:val="18"/>
                <w:szCs w:val="18"/>
                <w:u w:val="none"/>
                <w:lang w:val="en-US" w:eastAsia="zh-CN"/>
              </w:rPr>
              <w:t>5.2.1.2</w:t>
            </w:r>
          </w:p>
        </w:tc>
        <w:tc>
          <w:tcPr>
            <w:tcW w:w="135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lang w:val="en-US" w:eastAsia="zh-CN"/>
              </w:rPr>
            </w:pPr>
            <w:r>
              <w:rPr>
                <w:rFonts w:hint="eastAsia" w:ascii="Times New Roman" w:hAnsi="Times New Roman" w:eastAsia="宋体" w:cs="Times New Roman"/>
                <w:b/>
                <w:i w:val="0"/>
                <w:color w:val="000000"/>
                <w:sz w:val="18"/>
                <w:szCs w:val="18"/>
                <w:u w:val="none"/>
                <w:lang w:val="en-US" w:eastAsia="zh-CN"/>
              </w:rPr>
              <w:t>6.2.4</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黑体" w:hAnsi="黑体" w:eastAsia="黑体" w:cs="黑体"/>
                <w:b/>
                <w:bCs/>
                <w:i w:val="0"/>
                <w:color w:val="auto"/>
                <w:sz w:val="16"/>
                <w:szCs w:val="16"/>
                <w:u w:val="none"/>
              </w:rPr>
            </w:pPr>
            <w:r>
              <w:rPr>
                <w:rFonts w:hint="eastAsia" w:ascii="黑体" w:hAnsi="黑体" w:eastAsia="黑体" w:cs="黑体"/>
                <w:b/>
                <w:bCs/>
                <w:i w:val="0"/>
                <w:color w:val="auto"/>
                <w:sz w:val="16"/>
                <w:szCs w:val="16"/>
                <w:u w:val="none"/>
                <w:lang w:val="en-US" w:eastAsia="zh-CN"/>
              </w:rPr>
              <w:t>+</w:t>
            </w:r>
          </w:p>
        </w:tc>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黑体" w:hAnsi="黑体" w:eastAsia="黑体" w:cs="黑体"/>
                <w:i w:val="0"/>
                <w:color w:val="000000"/>
                <w:sz w:val="16"/>
                <w:szCs w:val="16"/>
                <w:u w:val="none"/>
              </w:rPr>
            </w:pPr>
            <w:r>
              <w:rPr>
                <w:rFonts w:hint="eastAsia" w:ascii="黑体" w:hAnsi="黑体" w:eastAsia="黑体" w:cs="黑体"/>
                <w:b/>
                <w:bCs/>
                <w:i w:val="0"/>
                <w:color w:val="auto"/>
                <w:sz w:val="16"/>
                <w:szCs w:val="16"/>
                <w:u w:val="none"/>
                <w:lang w:val="en-US" w:eastAsia="zh-CN"/>
              </w:rPr>
              <w:t>+</w:t>
            </w:r>
          </w:p>
        </w:tc>
      </w:tr>
      <w:tr>
        <w:tblPrEx>
          <w:tblCellMar>
            <w:top w:w="0" w:type="dxa"/>
            <w:left w:w="0" w:type="dxa"/>
            <w:bottom w:w="0" w:type="dxa"/>
            <w:right w:w="0" w:type="dxa"/>
          </w:tblCellMar>
        </w:tblPrEx>
        <w:trPr>
          <w:trHeight w:val="264"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3</w:t>
            </w: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16"/>
                <w:szCs w:val="16"/>
                <w:u w:val="none"/>
                <w:lang w:val="en-US" w:eastAsia="zh-CN" w:bidi="ar-SA"/>
              </w:rPr>
            </w:pPr>
            <w:r>
              <w:rPr>
                <w:rFonts w:hint="eastAsia" w:ascii="宋体" w:hAnsi="宋体" w:eastAsia="宋体" w:cs="宋体"/>
                <w:i w:val="0"/>
                <w:color w:val="000000"/>
                <w:kern w:val="0"/>
                <w:sz w:val="16"/>
                <w:szCs w:val="16"/>
                <w:u w:val="none"/>
                <w:lang w:val="en-US" w:eastAsia="zh-CN" w:bidi="ar"/>
              </w:rPr>
              <w:t>索体直径</w:t>
            </w:r>
          </w:p>
        </w:tc>
        <w:tc>
          <w:tcPr>
            <w:tcW w:w="14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kern w:val="2"/>
                <w:sz w:val="18"/>
                <w:szCs w:val="18"/>
                <w:u w:val="none"/>
                <w:lang w:val="en-US" w:eastAsia="zh-CN" w:bidi="ar-SA"/>
              </w:rPr>
            </w:pPr>
            <w:r>
              <w:rPr>
                <w:rStyle w:val="7"/>
                <w:rFonts w:eastAsia="宋体"/>
                <w:lang w:val="en-US" w:eastAsia="zh-CN" w:bidi="ar"/>
              </w:rPr>
              <w:t>5.</w:t>
            </w:r>
            <w:r>
              <w:rPr>
                <w:rStyle w:val="7"/>
                <w:rFonts w:hint="eastAsia" w:eastAsia="宋体"/>
                <w:lang w:val="en-US" w:eastAsia="zh-CN" w:bidi="ar"/>
              </w:rPr>
              <w:t>2.1.3</w:t>
            </w:r>
          </w:p>
        </w:tc>
        <w:tc>
          <w:tcPr>
            <w:tcW w:w="135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kern w:val="2"/>
                <w:sz w:val="18"/>
                <w:szCs w:val="18"/>
                <w:u w:val="none"/>
                <w:lang w:val="en-US" w:eastAsia="zh-CN" w:bidi="ar-SA"/>
              </w:rPr>
            </w:pPr>
            <w:r>
              <w:rPr>
                <w:rStyle w:val="7"/>
                <w:rFonts w:hint="eastAsia" w:eastAsia="宋体"/>
                <w:lang w:val="en-US" w:eastAsia="zh-CN" w:bidi="ar"/>
              </w:rPr>
              <w:t>6.2.3.1</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黑体" w:hAnsi="黑体" w:eastAsia="黑体" w:cs="黑体"/>
                <w:b/>
                <w:bCs/>
                <w:i w:val="0"/>
                <w:color w:val="auto"/>
                <w:kern w:val="2"/>
                <w:sz w:val="16"/>
                <w:szCs w:val="16"/>
                <w:u w:val="none"/>
                <w:lang w:val="en-US" w:eastAsia="zh-CN" w:bidi="ar-SA"/>
              </w:rPr>
            </w:pPr>
            <w:r>
              <w:rPr>
                <w:rStyle w:val="5"/>
                <w:rFonts w:hint="eastAsia" w:ascii="黑体" w:hAnsi="黑体" w:eastAsia="黑体" w:cs="黑体"/>
                <w:b/>
                <w:bCs/>
                <w:color w:val="auto"/>
                <w:lang w:val="en-US" w:eastAsia="zh-CN" w:bidi="ar"/>
              </w:rPr>
              <w:t>+</w:t>
            </w:r>
          </w:p>
        </w:tc>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黑体" w:hAnsi="黑体" w:eastAsia="黑体" w:cs="黑体"/>
                <w:i w:val="0"/>
                <w:color w:val="000000"/>
                <w:kern w:val="2"/>
                <w:sz w:val="16"/>
                <w:szCs w:val="16"/>
                <w:u w:val="none"/>
                <w:lang w:val="en-US" w:eastAsia="zh-CN" w:bidi="ar-SA"/>
              </w:rPr>
            </w:pPr>
            <w:r>
              <w:rPr>
                <w:rFonts w:hint="eastAsia" w:ascii="黑体" w:hAnsi="黑体" w:eastAsia="黑体" w:cs="黑体"/>
                <w:b/>
                <w:bCs/>
                <w:i w:val="0"/>
                <w:color w:val="auto"/>
                <w:sz w:val="16"/>
                <w:szCs w:val="16"/>
                <w:u w:val="none"/>
                <w:lang w:val="en-US" w:eastAsia="zh-CN"/>
              </w:rPr>
              <w:t>+</w:t>
            </w:r>
          </w:p>
        </w:tc>
      </w:tr>
      <w:tr>
        <w:tblPrEx>
          <w:tblCellMar>
            <w:top w:w="0" w:type="dxa"/>
            <w:left w:w="0" w:type="dxa"/>
            <w:bottom w:w="0" w:type="dxa"/>
            <w:right w:w="0" w:type="dxa"/>
          </w:tblCellMar>
        </w:tblPrEx>
        <w:trPr>
          <w:trHeight w:val="264"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4</w:t>
            </w: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MingLiU" w:hAnsi="MingLiU" w:eastAsia="宋体" w:cs="MingLiU"/>
                <w:i w:val="0"/>
                <w:color w:val="000000"/>
                <w:kern w:val="2"/>
                <w:sz w:val="16"/>
                <w:szCs w:val="16"/>
                <w:u w:val="none"/>
                <w:lang w:val="en-US" w:eastAsia="zh-CN" w:bidi="ar-SA"/>
              </w:rPr>
            </w:pPr>
            <w:r>
              <w:rPr>
                <w:rFonts w:hint="eastAsia" w:ascii="MingLiU" w:hAnsi="MingLiU" w:eastAsia="宋体" w:cs="MingLiU"/>
                <w:i w:val="0"/>
                <w:color w:val="000000"/>
                <w:sz w:val="16"/>
                <w:szCs w:val="16"/>
                <w:u w:val="none"/>
                <w:lang w:val="en-US" w:eastAsia="zh-CN"/>
              </w:rPr>
              <w:t>锚具</w:t>
            </w:r>
          </w:p>
        </w:tc>
        <w:tc>
          <w:tcPr>
            <w:tcW w:w="14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kern w:val="2"/>
                <w:sz w:val="18"/>
                <w:szCs w:val="18"/>
                <w:u w:val="none"/>
                <w:lang w:val="en-US" w:eastAsia="zh-CN" w:bidi="ar-SA"/>
              </w:rPr>
            </w:pPr>
            <w:r>
              <w:rPr>
                <w:rStyle w:val="7"/>
                <w:rFonts w:eastAsia="宋体"/>
                <w:lang w:val="en-US" w:eastAsia="zh-CN" w:bidi="ar"/>
              </w:rPr>
              <w:t>5.</w:t>
            </w:r>
            <w:r>
              <w:rPr>
                <w:rStyle w:val="7"/>
                <w:rFonts w:hint="eastAsia" w:eastAsia="宋体"/>
                <w:lang w:val="en-US" w:eastAsia="zh-CN" w:bidi="ar"/>
              </w:rPr>
              <w:t>2</w:t>
            </w:r>
            <w:r>
              <w:rPr>
                <w:rStyle w:val="7"/>
                <w:rFonts w:eastAsia="宋体"/>
                <w:lang w:val="en-US" w:eastAsia="zh-CN" w:bidi="ar"/>
              </w:rPr>
              <w:t>.4</w:t>
            </w:r>
          </w:p>
        </w:tc>
        <w:tc>
          <w:tcPr>
            <w:tcW w:w="135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kern w:val="2"/>
                <w:sz w:val="18"/>
                <w:szCs w:val="18"/>
                <w:u w:val="none"/>
                <w:lang w:val="en-US" w:eastAsia="zh-CN" w:bidi="ar-SA"/>
              </w:rPr>
            </w:pPr>
            <w:r>
              <w:rPr>
                <w:rStyle w:val="7"/>
                <w:rFonts w:hint="eastAsia" w:eastAsia="宋体"/>
                <w:lang w:val="en-US" w:eastAsia="zh-CN" w:bidi="ar"/>
              </w:rPr>
              <w:t>6.1.6</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黑体" w:hAnsi="黑体" w:eastAsia="黑体" w:cs="黑体"/>
                <w:b/>
                <w:bCs/>
                <w:i w:val="0"/>
                <w:color w:val="auto"/>
                <w:kern w:val="2"/>
                <w:sz w:val="16"/>
                <w:szCs w:val="16"/>
                <w:u w:val="none"/>
                <w:lang w:val="en-US" w:eastAsia="zh-CN" w:bidi="ar-SA"/>
              </w:rPr>
            </w:pPr>
            <w:r>
              <w:rPr>
                <w:rStyle w:val="5"/>
                <w:rFonts w:hint="eastAsia" w:ascii="黑体" w:hAnsi="黑体" w:eastAsia="黑体" w:cs="黑体"/>
                <w:b/>
                <w:bCs/>
                <w:color w:val="auto"/>
                <w:lang w:val="en-US" w:eastAsia="zh-CN" w:bidi="ar"/>
              </w:rPr>
              <w:t>+</w:t>
            </w:r>
          </w:p>
        </w:tc>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黑体" w:hAnsi="黑体" w:eastAsia="黑体" w:cs="黑体"/>
                <w:i w:val="0"/>
                <w:color w:val="000000"/>
                <w:kern w:val="2"/>
                <w:sz w:val="16"/>
                <w:szCs w:val="16"/>
                <w:u w:val="none"/>
                <w:lang w:val="en-US" w:eastAsia="zh-CN" w:bidi="ar-SA"/>
              </w:rPr>
            </w:pPr>
            <w:r>
              <w:rPr>
                <w:rFonts w:hint="eastAsia" w:ascii="黑体" w:hAnsi="黑体" w:eastAsia="黑体" w:cs="黑体"/>
                <w:b/>
                <w:bCs/>
                <w:i w:val="0"/>
                <w:color w:val="auto"/>
                <w:sz w:val="16"/>
                <w:szCs w:val="16"/>
                <w:u w:val="none"/>
                <w:lang w:val="en-US" w:eastAsia="zh-CN"/>
              </w:rPr>
              <w:t>+</w:t>
            </w:r>
          </w:p>
        </w:tc>
      </w:tr>
      <w:tr>
        <w:tblPrEx>
          <w:tblCellMar>
            <w:top w:w="0" w:type="dxa"/>
            <w:left w:w="0" w:type="dxa"/>
            <w:bottom w:w="0" w:type="dxa"/>
            <w:right w:w="0" w:type="dxa"/>
          </w:tblCellMar>
        </w:tblPrEx>
        <w:trPr>
          <w:trHeight w:val="264"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5</w:t>
            </w: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MingLiU" w:hAnsi="MingLiU" w:eastAsia="宋体" w:cs="MingLiU"/>
                <w:i w:val="0"/>
                <w:color w:val="000000"/>
                <w:kern w:val="2"/>
                <w:sz w:val="16"/>
                <w:szCs w:val="16"/>
                <w:u w:val="none"/>
                <w:lang w:val="en-US" w:eastAsia="zh-CN" w:bidi="ar-SA"/>
              </w:rPr>
            </w:pPr>
            <w:r>
              <w:rPr>
                <w:rFonts w:hint="eastAsia" w:ascii="MingLiU" w:hAnsi="MingLiU" w:eastAsia="宋体" w:cs="MingLiU"/>
                <w:i w:val="0"/>
                <w:color w:val="000000"/>
                <w:sz w:val="16"/>
                <w:szCs w:val="16"/>
                <w:u w:val="none"/>
                <w:lang w:val="en-US" w:eastAsia="zh-CN"/>
              </w:rPr>
              <w:t>吊索长度</w:t>
            </w:r>
          </w:p>
        </w:tc>
        <w:tc>
          <w:tcPr>
            <w:tcW w:w="14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kern w:val="2"/>
                <w:sz w:val="18"/>
                <w:szCs w:val="18"/>
                <w:u w:val="none"/>
                <w:lang w:val="en-US" w:eastAsia="zh-CN" w:bidi="ar-SA"/>
              </w:rPr>
            </w:pPr>
            <w:r>
              <w:rPr>
                <w:rStyle w:val="7"/>
                <w:rFonts w:eastAsia="宋体"/>
                <w:lang w:val="en-US" w:eastAsia="zh-CN" w:bidi="ar"/>
              </w:rPr>
              <w:t>5.</w:t>
            </w:r>
            <w:r>
              <w:rPr>
                <w:rStyle w:val="7"/>
                <w:rFonts w:hint="eastAsia" w:eastAsia="宋体"/>
                <w:lang w:val="en-US" w:eastAsia="zh-CN" w:bidi="ar"/>
              </w:rPr>
              <w:t>2.5.1</w:t>
            </w:r>
          </w:p>
        </w:tc>
        <w:tc>
          <w:tcPr>
            <w:tcW w:w="135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kern w:val="2"/>
                <w:sz w:val="18"/>
                <w:szCs w:val="18"/>
                <w:u w:val="none"/>
                <w:lang w:val="en-US" w:eastAsia="zh-CN" w:bidi="ar-SA"/>
              </w:rPr>
            </w:pPr>
            <w:r>
              <w:rPr>
                <w:rStyle w:val="7"/>
                <w:rFonts w:hint="eastAsia" w:eastAsia="宋体"/>
                <w:lang w:val="en-US" w:eastAsia="zh-CN" w:bidi="ar"/>
              </w:rPr>
              <w:t>6.2.2.1</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黑体" w:hAnsi="黑体" w:eastAsia="黑体" w:cs="黑体"/>
                <w:b/>
                <w:bCs/>
                <w:i w:val="0"/>
                <w:color w:val="auto"/>
                <w:kern w:val="2"/>
                <w:sz w:val="16"/>
                <w:szCs w:val="16"/>
                <w:u w:val="none"/>
                <w:lang w:val="en-US" w:eastAsia="zh-CN" w:bidi="ar-SA"/>
              </w:rPr>
            </w:pPr>
            <w:r>
              <w:rPr>
                <w:rStyle w:val="5"/>
                <w:rFonts w:hint="eastAsia" w:ascii="黑体" w:hAnsi="黑体" w:eastAsia="黑体" w:cs="黑体"/>
                <w:b/>
                <w:bCs/>
                <w:color w:val="auto"/>
                <w:lang w:val="en-US" w:eastAsia="zh-CN" w:bidi="ar"/>
              </w:rPr>
              <w:t>+</w:t>
            </w:r>
          </w:p>
        </w:tc>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黑体" w:hAnsi="黑体" w:eastAsia="黑体" w:cs="黑体"/>
                <w:i w:val="0"/>
                <w:color w:val="000000"/>
                <w:kern w:val="2"/>
                <w:sz w:val="16"/>
                <w:szCs w:val="16"/>
                <w:u w:val="none"/>
                <w:lang w:val="en-US" w:eastAsia="zh-CN" w:bidi="ar-SA"/>
              </w:rPr>
            </w:pPr>
            <w:r>
              <w:rPr>
                <w:rFonts w:hint="eastAsia" w:ascii="黑体" w:hAnsi="黑体" w:eastAsia="黑体" w:cs="黑体"/>
                <w:b/>
                <w:bCs/>
                <w:i w:val="0"/>
                <w:color w:val="auto"/>
                <w:sz w:val="16"/>
                <w:szCs w:val="16"/>
                <w:u w:val="none"/>
                <w:lang w:val="en-US" w:eastAsia="zh-CN"/>
              </w:rPr>
              <w:t>+</w:t>
            </w:r>
          </w:p>
        </w:tc>
      </w:tr>
      <w:tr>
        <w:tblPrEx>
          <w:tblCellMar>
            <w:top w:w="0" w:type="dxa"/>
            <w:left w:w="0" w:type="dxa"/>
            <w:bottom w:w="0" w:type="dxa"/>
            <w:right w:w="0" w:type="dxa"/>
          </w:tblCellMar>
        </w:tblPrEx>
        <w:trPr>
          <w:trHeight w:val="264"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6</w:t>
            </w: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MingLiU" w:hAnsi="MingLiU" w:eastAsia="MingLiU" w:cs="MingLiU"/>
                <w:i w:val="0"/>
                <w:color w:val="000000"/>
                <w:kern w:val="2"/>
                <w:sz w:val="16"/>
                <w:szCs w:val="16"/>
                <w:u w:val="none"/>
                <w:lang w:val="en-US" w:eastAsia="zh-CN" w:bidi="ar-SA"/>
              </w:rPr>
            </w:pPr>
            <w:r>
              <w:rPr>
                <w:rStyle w:val="5"/>
                <w:lang w:val="en-US" w:eastAsia="zh-CN" w:bidi="ar"/>
              </w:rPr>
              <w:t>弹性模量</w:t>
            </w:r>
          </w:p>
        </w:tc>
        <w:tc>
          <w:tcPr>
            <w:tcW w:w="14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kern w:val="2"/>
                <w:sz w:val="18"/>
                <w:szCs w:val="18"/>
                <w:u w:val="none"/>
                <w:lang w:val="en-US" w:eastAsia="zh-CN" w:bidi="ar-SA"/>
              </w:rPr>
            </w:pPr>
            <w:r>
              <w:rPr>
                <w:rStyle w:val="7"/>
                <w:rFonts w:eastAsia="宋体"/>
                <w:lang w:val="en-US" w:eastAsia="zh-CN" w:bidi="ar"/>
              </w:rPr>
              <w:t>5.3.1</w:t>
            </w:r>
            <w:r>
              <w:rPr>
                <w:rStyle w:val="7"/>
                <w:rFonts w:hint="eastAsia" w:eastAsia="宋体"/>
                <w:lang w:val="en-US" w:eastAsia="zh-CN" w:bidi="ar"/>
              </w:rPr>
              <w:t>.1</w:t>
            </w:r>
          </w:p>
        </w:tc>
        <w:tc>
          <w:tcPr>
            <w:tcW w:w="135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kern w:val="2"/>
                <w:sz w:val="18"/>
                <w:szCs w:val="18"/>
                <w:u w:val="none"/>
                <w:lang w:val="en-US" w:eastAsia="zh-CN" w:bidi="ar-SA"/>
              </w:rPr>
            </w:pPr>
            <w:r>
              <w:rPr>
                <w:rStyle w:val="7"/>
                <w:rFonts w:hint="eastAsia" w:eastAsia="宋体"/>
                <w:lang w:val="en-US" w:eastAsia="zh-CN" w:bidi="ar"/>
              </w:rPr>
              <w:t>6.3.1</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黑体" w:hAnsi="黑体" w:eastAsia="黑体" w:cs="黑体"/>
                <w:b/>
                <w:bCs/>
                <w:i w:val="0"/>
                <w:color w:val="auto"/>
                <w:kern w:val="2"/>
                <w:sz w:val="16"/>
                <w:szCs w:val="16"/>
                <w:u w:val="none"/>
                <w:lang w:val="en-US" w:eastAsia="zh-CN" w:bidi="ar-SA"/>
              </w:rPr>
            </w:pPr>
            <w:r>
              <w:rPr>
                <w:rStyle w:val="5"/>
                <w:rFonts w:hint="eastAsia" w:ascii="黑体" w:hAnsi="黑体" w:eastAsia="黑体" w:cs="黑体"/>
                <w:b/>
                <w:bCs/>
                <w:color w:val="auto"/>
                <w:lang w:val="en-US" w:eastAsia="zh-CN" w:bidi="ar"/>
              </w:rPr>
              <w:t>+</w:t>
            </w:r>
          </w:p>
        </w:tc>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MingLiU" w:hAnsi="MingLiU" w:eastAsia="MingLiU" w:cs="MingLiU"/>
                <w:i w:val="0"/>
                <w:color w:val="000000"/>
                <w:kern w:val="2"/>
                <w:sz w:val="16"/>
                <w:szCs w:val="16"/>
                <w:u w:val="none"/>
                <w:lang w:val="en-US" w:eastAsia="zh-CN" w:bidi="ar-SA"/>
              </w:rPr>
            </w:pPr>
            <w:r>
              <w:rPr>
                <w:rFonts w:hint="eastAsia" w:ascii="黑体" w:hAnsi="黑体" w:eastAsia="黑体" w:cs="黑体"/>
                <w:b/>
                <w:bCs/>
                <w:i w:val="0"/>
                <w:color w:val="auto"/>
                <w:sz w:val="16"/>
                <w:szCs w:val="16"/>
                <w:u w:val="none"/>
                <w:lang w:val="en-US" w:eastAsia="zh-CN"/>
              </w:rPr>
              <w:t>+</w:t>
            </w:r>
          </w:p>
        </w:tc>
      </w:tr>
      <w:tr>
        <w:tblPrEx>
          <w:tblCellMar>
            <w:top w:w="0" w:type="dxa"/>
            <w:left w:w="0" w:type="dxa"/>
            <w:bottom w:w="0" w:type="dxa"/>
            <w:right w:w="0" w:type="dxa"/>
          </w:tblCellMar>
        </w:tblPrEx>
        <w:trPr>
          <w:trHeight w:val="264"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7</w:t>
            </w: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16"/>
                <w:szCs w:val="16"/>
                <w:u w:val="none"/>
                <w:lang w:val="en-US" w:eastAsia="zh-CN" w:bidi="ar-SA"/>
              </w:rPr>
            </w:pPr>
            <w:r>
              <w:rPr>
                <w:rFonts w:hint="eastAsia" w:ascii="宋体" w:hAnsi="宋体" w:eastAsia="宋体" w:cs="宋体"/>
                <w:i w:val="0"/>
                <w:color w:val="000000"/>
                <w:kern w:val="2"/>
                <w:sz w:val="16"/>
                <w:szCs w:val="16"/>
                <w:u w:val="none"/>
                <w:lang w:val="en-US" w:eastAsia="zh-CN" w:bidi="ar-SA"/>
              </w:rPr>
              <w:t>静载试验</w:t>
            </w:r>
          </w:p>
        </w:tc>
        <w:tc>
          <w:tcPr>
            <w:tcW w:w="14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Style w:val="7"/>
                <w:rFonts w:hint="default" w:eastAsia="宋体"/>
                <w:lang w:val="en-US" w:eastAsia="zh-CN" w:bidi="ar"/>
              </w:rPr>
            </w:pPr>
            <w:r>
              <w:rPr>
                <w:rStyle w:val="7"/>
                <w:rFonts w:hint="eastAsia" w:eastAsia="宋体"/>
                <w:lang w:val="en-US" w:eastAsia="zh-CN" w:bidi="ar"/>
              </w:rPr>
              <w:t>5.3.2.1</w:t>
            </w:r>
          </w:p>
        </w:tc>
        <w:tc>
          <w:tcPr>
            <w:tcW w:w="135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kern w:val="2"/>
                <w:sz w:val="18"/>
                <w:szCs w:val="18"/>
                <w:u w:val="none"/>
                <w:lang w:val="en-US" w:eastAsia="zh-CN" w:bidi="ar-SA"/>
              </w:rPr>
            </w:pPr>
            <w:r>
              <w:rPr>
                <w:rStyle w:val="7"/>
                <w:rFonts w:hint="eastAsia" w:eastAsia="宋体"/>
                <w:lang w:val="en-US" w:eastAsia="zh-CN" w:bidi="ar"/>
              </w:rPr>
              <w:t>6.3.2.1</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黑体" w:hAnsi="黑体" w:eastAsia="黑体" w:cs="黑体"/>
                <w:b/>
                <w:bCs/>
                <w:i w:val="0"/>
                <w:color w:val="auto"/>
                <w:kern w:val="2"/>
                <w:sz w:val="16"/>
                <w:szCs w:val="16"/>
                <w:u w:val="none"/>
                <w:lang w:val="en-US" w:eastAsia="zh-CN" w:bidi="ar-SA"/>
              </w:rPr>
            </w:pPr>
            <w:r>
              <w:rPr>
                <w:rStyle w:val="5"/>
                <w:rFonts w:hint="eastAsia" w:ascii="黑体" w:hAnsi="黑体" w:eastAsia="黑体" w:cs="黑体"/>
                <w:b/>
                <w:bCs/>
                <w:color w:val="auto"/>
                <w:lang w:val="en-US" w:eastAsia="zh-CN" w:bidi="ar"/>
              </w:rPr>
              <w:t>+</w:t>
            </w:r>
          </w:p>
        </w:tc>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MingLiU" w:hAnsi="MingLiU" w:eastAsia="MingLiU" w:cs="MingLiU"/>
                <w:i w:val="0"/>
                <w:color w:val="000000"/>
                <w:kern w:val="2"/>
                <w:sz w:val="16"/>
                <w:szCs w:val="16"/>
                <w:u w:val="none"/>
                <w:lang w:val="en-US" w:eastAsia="zh-CN" w:bidi="ar-SA"/>
              </w:rPr>
            </w:pPr>
            <w:r>
              <w:rPr>
                <w:rStyle w:val="5"/>
                <w:lang w:val="en-US" w:eastAsia="zh-CN" w:bidi="ar"/>
              </w:rPr>
              <w:t>—</w:t>
            </w:r>
          </w:p>
        </w:tc>
      </w:tr>
      <w:tr>
        <w:tblPrEx>
          <w:tblCellMar>
            <w:top w:w="0" w:type="dxa"/>
            <w:left w:w="0" w:type="dxa"/>
            <w:bottom w:w="0" w:type="dxa"/>
            <w:right w:w="0" w:type="dxa"/>
          </w:tblCellMar>
        </w:tblPrEx>
        <w:trPr>
          <w:trHeight w:val="264"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8</w:t>
            </w:r>
          </w:p>
        </w:tc>
        <w:tc>
          <w:tcPr>
            <w:tcW w:w="203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16"/>
                <w:szCs w:val="16"/>
                <w:u w:val="none"/>
                <w:lang w:val="en-US" w:eastAsia="zh-CN" w:bidi="ar-SA"/>
              </w:rPr>
            </w:pPr>
            <w:r>
              <w:rPr>
                <w:rFonts w:hint="eastAsia" w:ascii="宋体" w:hAnsi="宋体" w:eastAsia="宋体" w:cs="宋体"/>
                <w:i w:val="0"/>
                <w:color w:val="000000"/>
                <w:kern w:val="0"/>
                <w:sz w:val="16"/>
                <w:szCs w:val="16"/>
                <w:u w:val="none"/>
                <w:lang w:val="en-US" w:eastAsia="zh-CN" w:bidi="ar"/>
              </w:rPr>
              <w:t>疲劳试验</w:t>
            </w:r>
          </w:p>
        </w:tc>
        <w:tc>
          <w:tcPr>
            <w:tcW w:w="14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kern w:val="2"/>
                <w:sz w:val="18"/>
                <w:szCs w:val="18"/>
                <w:u w:val="none"/>
                <w:lang w:val="en-US" w:eastAsia="zh-CN" w:bidi="ar-SA"/>
              </w:rPr>
            </w:pPr>
            <w:r>
              <w:rPr>
                <w:rStyle w:val="7"/>
                <w:rFonts w:hint="eastAsia" w:eastAsia="宋体"/>
                <w:lang w:val="en-US" w:eastAsia="zh-CN" w:bidi="ar"/>
              </w:rPr>
              <w:t>5.3.3</w:t>
            </w:r>
          </w:p>
        </w:tc>
        <w:tc>
          <w:tcPr>
            <w:tcW w:w="135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kern w:val="2"/>
                <w:sz w:val="18"/>
                <w:szCs w:val="18"/>
                <w:u w:val="none"/>
                <w:lang w:val="en-US" w:eastAsia="zh-CN" w:bidi="ar-SA"/>
              </w:rPr>
            </w:pPr>
            <w:r>
              <w:rPr>
                <w:rStyle w:val="7"/>
                <w:rFonts w:hint="eastAsia" w:eastAsia="宋体"/>
                <w:lang w:val="en-US" w:eastAsia="zh-CN" w:bidi="ar"/>
              </w:rPr>
              <w:t>6.3.3</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黑体" w:hAnsi="黑体" w:eastAsia="黑体" w:cs="黑体"/>
                <w:b/>
                <w:bCs/>
                <w:i w:val="0"/>
                <w:color w:val="auto"/>
                <w:kern w:val="2"/>
                <w:sz w:val="16"/>
                <w:szCs w:val="16"/>
                <w:u w:val="none"/>
                <w:lang w:val="en-US" w:eastAsia="zh-CN" w:bidi="ar-SA"/>
              </w:rPr>
            </w:pPr>
            <w:r>
              <w:rPr>
                <w:rStyle w:val="5"/>
                <w:rFonts w:hint="eastAsia" w:ascii="黑体" w:hAnsi="黑体" w:eastAsia="黑体" w:cs="黑体"/>
                <w:b/>
                <w:bCs/>
                <w:color w:val="auto"/>
                <w:lang w:val="en-US" w:eastAsia="zh-CN" w:bidi="ar"/>
              </w:rPr>
              <w:t>+</w:t>
            </w:r>
          </w:p>
        </w:tc>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2"/>
                <w:sz w:val="16"/>
                <w:szCs w:val="16"/>
                <w:u w:val="none"/>
                <w:lang w:val="en-US" w:eastAsia="zh-CN" w:bidi="ar-SA"/>
              </w:rPr>
            </w:pPr>
            <w:r>
              <w:rPr>
                <w:rStyle w:val="5"/>
                <w:lang w:val="en-US" w:eastAsia="zh-CN" w:bidi="ar"/>
              </w:rPr>
              <w:t>—</w:t>
            </w:r>
          </w:p>
        </w:tc>
      </w:tr>
      <w:tr>
        <w:tblPrEx>
          <w:tblCellMar>
            <w:top w:w="0" w:type="dxa"/>
            <w:left w:w="0" w:type="dxa"/>
            <w:bottom w:w="0" w:type="dxa"/>
            <w:right w:w="0" w:type="dxa"/>
          </w:tblCellMar>
        </w:tblPrEx>
        <w:trPr>
          <w:trHeight w:val="286"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sz w:val="18"/>
                <w:szCs w:val="18"/>
                <w:u w:val="none"/>
              </w:rPr>
            </w:pPr>
            <w:r>
              <w:rPr>
                <w:rFonts w:hint="default" w:ascii="Times New Roman" w:hAnsi="Times New Roman" w:eastAsia="宋体" w:cs="Times New Roman"/>
                <w:b/>
                <w:i w:val="0"/>
                <w:color w:val="000000"/>
                <w:kern w:val="0"/>
                <w:sz w:val="18"/>
                <w:szCs w:val="18"/>
                <w:u w:val="none"/>
                <w:lang w:val="en-US" w:eastAsia="zh-CN" w:bidi="ar"/>
              </w:rPr>
              <w:t>9</w:t>
            </w:r>
          </w:p>
        </w:tc>
        <w:tc>
          <w:tcPr>
            <w:tcW w:w="20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MingLiU" w:hAnsi="MingLiU" w:eastAsia="MingLiU" w:cs="MingLiU"/>
                <w:i w:val="0"/>
                <w:color w:val="000000"/>
                <w:kern w:val="2"/>
                <w:sz w:val="16"/>
                <w:szCs w:val="16"/>
                <w:u w:val="none"/>
                <w:lang w:val="en-US" w:eastAsia="zh-CN" w:bidi="ar-SA"/>
              </w:rPr>
            </w:pPr>
            <w:r>
              <w:rPr>
                <w:rStyle w:val="5"/>
                <w:rFonts w:hint="eastAsia"/>
                <w:lang w:val="en-US" w:eastAsia="zh-CN" w:bidi="ar"/>
              </w:rPr>
              <w:t>静动态水密性试验</w:t>
            </w:r>
          </w:p>
        </w:tc>
        <w:tc>
          <w:tcPr>
            <w:tcW w:w="14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kern w:val="2"/>
                <w:sz w:val="18"/>
                <w:szCs w:val="18"/>
                <w:u w:val="none"/>
                <w:lang w:val="en-US" w:eastAsia="zh-CN" w:bidi="ar-SA"/>
              </w:rPr>
            </w:pPr>
            <w:r>
              <w:rPr>
                <w:rStyle w:val="7"/>
                <w:rFonts w:eastAsia="宋体"/>
                <w:lang w:val="en-US" w:eastAsia="zh-CN" w:bidi="ar"/>
              </w:rPr>
              <w:t>5.3.</w:t>
            </w:r>
            <w:r>
              <w:rPr>
                <w:rStyle w:val="7"/>
                <w:rFonts w:hint="eastAsia" w:eastAsia="宋体"/>
                <w:lang w:val="en-US" w:eastAsia="zh-CN" w:bidi="ar"/>
              </w:rPr>
              <w:t>4</w:t>
            </w:r>
          </w:p>
        </w:tc>
        <w:tc>
          <w:tcPr>
            <w:tcW w:w="135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kern w:val="2"/>
                <w:sz w:val="18"/>
                <w:szCs w:val="18"/>
                <w:u w:val="none"/>
                <w:lang w:val="en-US" w:eastAsia="zh-CN" w:bidi="ar-SA"/>
              </w:rPr>
            </w:pPr>
            <w:r>
              <w:rPr>
                <w:rStyle w:val="7"/>
                <w:rFonts w:eastAsia="宋体"/>
                <w:lang w:val="en-US" w:eastAsia="zh-CN" w:bidi="ar"/>
              </w:rPr>
              <w:t>6.3.</w:t>
            </w:r>
            <w:r>
              <w:rPr>
                <w:rStyle w:val="7"/>
                <w:rFonts w:hint="eastAsia" w:eastAsia="宋体"/>
                <w:lang w:val="en-US" w:eastAsia="zh-CN" w:bidi="ar"/>
              </w:rPr>
              <w:t>4</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黑体" w:hAnsi="黑体" w:eastAsia="黑体" w:cs="黑体"/>
                <w:b/>
                <w:bCs/>
                <w:i w:val="0"/>
                <w:color w:val="auto"/>
                <w:kern w:val="2"/>
                <w:sz w:val="16"/>
                <w:szCs w:val="16"/>
                <w:u w:val="none"/>
                <w:lang w:val="en-US" w:eastAsia="zh-CN" w:bidi="ar-SA"/>
              </w:rPr>
            </w:pPr>
            <w:r>
              <w:rPr>
                <w:rStyle w:val="5"/>
                <w:rFonts w:hint="eastAsia" w:ascii="黑体" w:hAnsi="黑体" w:eastAsia="黑体" w:cs="黑体"/>
                <w:b/>
                <w:bCs/>
                <w:color w:val="auto"/>
                <w:lang w:val="en-US" w:eastAsia="zh-CN" w:bidi="ar"/>
              </w:rPr>
              <w:t>+</w:t>
            </w:r>
          </w:p>
        </w:tc>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MingLiU" w:hAnsi="MingLiU" w:eastAsia="MingLiU" w:cs="MingLiU"/>
                <w:i w:val="0"/>
                <w:color w:val="000000"/>
                <w:kern w:val="2"/>
                <w:sz w:val="16"/>
                <w:szCs w:val="16"/>
                <w:u w:val="none"/>
                <w:lang w:val="en-US" w:eastAsia="zh-CN" w:bidi="ar-SA"/>
              </w:rPr>
            </w:pPr>
            <w:r>
              <w:rPr>
                <w:rStyle w:val="5"/>
                <w:lang w:val="en-US" w:eastAsia="zh-CN" w:bidi="ar"/>
              </w:rPr>
              <w:t>—</w:t>
            </w:r>
          </w:p>
        </w:tc>
      </w:tr>
      <w:tr>
        <w:tblPrEx>
          <w:shd w:val="clear" w:color="auto" w:fill="auto"/>
          <w:tblCellMar>
            <w:top w:w="0" w:type="dxa"/>
            <w:left w:w="0" w:type="dxa"/>
            <w:bottom w:w="0" w:type="dxa"/>
            <w:right w:w="0" w:type="dxa"/>
          </w:tblCellMar>
        </w:tblPrEx>
        <w:trPr>
          <w:trHeight w:val="357" w:hRule="atLeast"/>
        </w:trPr>
        <w:tc>
          <w:tcPr>
            <w:tcW w:w="428"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kern w:val="0"/>
                <w:sz w:val="18"/>
                <w:szCs w:val="18"/>
                <w:u w:val="none"/>
                <w:lang w:val="en-US" w:eastAsia="zh-CN" w:bidi="ar"/>
              </w:rPr>
            </w:pPr>
            <w:r>
              <w:rPr>
                <w:rFonts w:hint="eastAsia" w:ascii="Times New Roman" w:hAnsi="Times New Roman" w:eastAsia="宋体" w:cs="Times New Roman"/>
                <w:b/>
                <w:i w:val="0"/>
                <w:color w:val="000000"/>
                <w:kern w:val="0"/>
                <w:sz w:val="18"/>
                <w:szCs w:val="18"/>
                <w:u w:val="none"/>
                <w:lang w:val="en-US" w:eastAsia="zh-CN" w:bidi="ar"/>
              </w:rPr>
              <w:t>10</w:t>
            </w:r>
          </w:p>
        </w:tc>
        <w:tc>
          <w:tcPr>
            <w:tcW w:w="203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top"/>
          </w:tcPr>
          <w:p>
            <w:pPr>
              <w:keepNext w:val="0"/>
              <w:keepLines w:val="0"/>
              <w:widowControl/>
              <w:suppressLineNumbers w:val="0"/>
              <w:jc w:val="center"/>
              <w:textAlignment w:val="top"/>
              <w:rPr>
                <w:rFonts w:hint="default" w:ascii="宋体" w:hAnsi="宋体" w:eastAsia="宋体" w:cs="宋体"/>
                <w:i w:val="0"/>
                <w:color w:val="000000"/>
                <w:kern w:val="2"/>
                <w:sz w:val="16"/>
                <w:szCs w:val="16"/>
                <w:u w:val="none"/>
                <w:lang w:val="en-US" w:eastAsia="zh-CN" w:bidi="ar-SA"/>
              </w:rPr>
            </w:pPr>
            <w:r>
              <w:rPr>
                <w:rFonts w:hint="eastAsia" w:ascii="宋体" w:hAnsi="宋体" w:eastAsia="宋体" w:cs="宋体"/>
                <w:i w:val="0"/>
                <w:color w:val="000000"/>
                <w:kern w:val="0"/>
                <w:sz w:val="16"/>
                <w:szCs w:val="16"/>
                <w:u w:val="none"/>
                <w:lang w:val="en-US" w:eastAsia="zh-CN" w:bidi="ar"/>
              </w:rPr>
              <w:t>预张拉（顶压）</w:t>
            </w:r>
          </w:p>
        </w:tc>
        <w:tc>
          <w:tcPr>
            <w:tcW w:w="148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kern w:val="2"/>
                <w:sz w:val="18"/>
                <w:szCs w:val="18"/>
                <w:u w:val="none"/>
                <w:lang w:val="en-US" w:eastAsia="zh-CN" w:bidi="ar-SA"/>
              </w:rPr>
            </w:pPr>
            <w:r>
              <w:rPr>
                <w:rStyle w:val="7"/>
                <w:rFonts w:eastAsia="宋体"/>
                <w:lang w:val="en-US" w:eastAsia="zh-CN" w:bidi="ar"/>
              </w:rPr>
              <w:t>5.</w:t>
            </w:r>
            <w:r>
              <w:rPr>
                <w:rStyle w:val="7"/>
                <w:rFonts w:hint="eastAsia" w:eastAsia="宋体"/>
                <w:lang w:val="en-US" w:eastAsia="zh-CN" w:bidi="ar"/>
              </w:rPr>
              <w:t>4.1.4</w:t>
            </w:r>
          </w:p>
        </w:tc>
        <w:tc>
          <w:tcPr>
            <w:tcW w:w="1352"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Times New Roman" w:hAnsi="Times New Roman" w:eastAsia="宋体" w:cs="Times New Roman"/>
                <w:b/>
                <w:i w:val="0"/>
                <w:color w:val="000000"/>
                <w:kern w:val="2"/>
                <w:sz w:val="18"/>
                <w:szCs w:val="18"/>
                <w:u w:val="none"/>
                <w:lang w:val="en-US" w:eastAsia="zh-CN" w:bidi="ar-SA"/>
              </w:rPr>
            </w:pPr>
            <w:r>
              <w:rPr>
                <w:rStyle w:val="7"/>
                <w:rFonts w:eastAsia="宋体"/>
                <w:lang w:val="en-US" w:eastAsia="zh-CN" w:bidi="ar"/>
              </w:rPr>
              <w:t>6.3.</w:t>
            </w:r>
            <w:r>
              <w:rPr>
                <w:rStyle w:val="7"/>
                <w:rFonts w:hint="eastAsia" w:eastAsia="宋体"/>
                <w:lang w:val="en-US" w:eastAsia="zh-CN" w:bidi="ar"/>
              </w:rPr>
              <w:t>5</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黑体" w:hAnsi="黑体" w:eastAsia="黑体" w:cs="黑体"/>
                <w:b/>
                <w:bCs/>
                <w:i w:val="0"/>
                <w:color w:val="auto"/>
                <w:kern w:val="2"/>
                <w:sz w:val="16"/>
                <w:szCs w:val="16"/>
                <w:u w:val="none"/>
                <w:lang w:val="en-US" w:eastAsia="zh-CN" w:bidi="ar-SA"/>
              </w:rPr>
            </w:pPr>
            <w:r>
              <w:rPr>
                <w:rStyle w:val="5"/>
                <w:rFonts w:hint="eastAsia" w:ascii="黑体" w:hAnsi="黑体" w:eastAsia="黑体" w:cs="黑体"/>
                <w:b/>
                <w:bCs/>
                <w:color w:val="auto"/>
                <w:lang w:val="en-US" w:eastAsia="zh-CN" w:bidi="ar"/>
              </w:rPr>
              <w:t>+</w:t>
            </w:r>
          </w:p>
        </w:tc>
        <w:tc>
          <w:tcPr>
            <w:tcW w:w="132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default" w:ascii="MingLiU" w:hAnsi="MingLiU" w:eastAsia="MingLiU" w:cs="MingLiU"/>
                <w:i w:val="0"/>
                <w:color w:val="000000"/>
                <w:kern w:val="2"/>
                <w:sz w:val="16"/>
                <w:szCs w:val="16"/>
                <w:u w:val="none"/>
                <w:lang w:val="en-US" w:eastAsia="zh-CN" w:bidi="ar-SA"/>
              </w:rPr>
            </w:pPr>
            <w:r>
              <w:rPr>
                <w:rFonts w:hint="eastAsia" w:ascii="黑体" w:hAnsi="黑体" w:eastAsia="黑体" w:cs="黑体"/>
                <w:b/>
                <w:bCs/>
                <w:i w:val="0"/>
                <w:color w:val="auto"/>
                <w:sz w:val="16"/>
                <w:szCs w:val="16"/>
                <w:u w:val="none"/>
                <w:lang w:val="en-US" w:eastAsia="zh-CN"/>
              </w:rPr>
              <w:t>+</w:t>
            </w:r>
          </w:p>
        </w:tc>
      </w:tr>
      <w:tr>
        <w:tblPrEx>
          <w:tblCellMar>
            <w:top w:w="0" w:type="dxa"/>
            <w:left w:w="0" w:type="dxa"/>
            <w:bottom w:w="0" w:type="dxa"/>
            <w:right w:w="0" w:type="dxa"/>
          </w:tblCellMar>
        </w:tblPrEx>
        <w:trPr>
          <w:trHeight w:val="282" w:hRule="atLeast"/>
        </w:trPr>
        <w:tc>
          <w:tcPr>
            <w:tcW w:w="8058"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default" w:ascii="黑体" w:hAnsi="黑体" w:eastAsia="黑体" w:cs="黑体"/>
                <w:b/>
                <w:bCs/>
                <w:i w:val="0"/>
                <w:color w:val="auto"/>
                <w:sz w:val="16"/>
                <w:szCs w:val="16"/>
                <w:u w:val="none"/>
                <w:lang w:val="en-US" w:eastAsia="zh-CN"/>
              </w:rPr>
            </w:pPr>
            <w:r>
              <w:rPr>
                <w:rFonts w:hint="eastAsia" w:ascii="黑体" w:hAnsi="黑体" w:eastAsia="黑体" w:cs="黑体"/>
                <w:b w:val="0"/>
                <w:bCs w:val="0"/>
                <w:i w:val="0"/>
                <w:color w:val="auto"/>
                <w:sz w:val="16"/>
                <w:szCs w:val="16"/>
                <w:u w:val="none"/>
                <w:lang w:val="en-US" w:eastAsia="zh-CN"/>
              </w:rPr>
              <w:t xml:space="preserve"> 注：“+”表示需要检验的项目，“—”表示不需要检验的项目</w:t>
            </w:r>
          </w:p>
        </w:tc>
      </w:tr>
    </w:tbl>
    <w:p>
      <w:pPr>
        <w:rPr>
          <w:rFonts w:hint="eastAsia"/>
          <w:b/>
          <w:bCs/>
          <w:sz w:val="20"/>
          <w:szCs w:val="22"/>
          <w:lang w:val="en-US" w:eastAsia="zh-CN"/>
        </w:rPr>
      </w:pPr>
      <w:r>
        <w:rPr>
          <w:rFonts w:hint="eastAsia"/>
          <w:b/>
          <w:bCs/>
          <w:sz w:val="20"/>
          <w:szCs w:val="22"/>
          <w:lang w:val="en-US" w:eastAsia="zh-CN"/>
        </w:rPr>
        <w:t>注：供应商应保证在产品出厂前能提供上表中序号7、8、9项三年内的型式检验报告。</w:t>
      </w:r>
    </w:p>
    <w:p>
      <w:pPr>
        <w:rPr>
          <w:rFonts w:hint="eastAsia"/>
          <w:b/>
          <w:bCs/>
          <w:sz w:val="20"/>
          <w:szCs w:val="22"/>
          <w:lang w:val="en-US" w:eastAsia="zh-CN"/>
        </w:rPr>
      </w:pPr>
    </w:p>
    <w:p>
      <w:pPr>
        <w:pStyle w:val="10"/>
        <w:numPr>
          <w:ilvl w:val="0"/>
          <w:numId w:val="1"/>
        </w:numPr>
        <w:ind w:left="0" w:leftChars="0" w:right="-313" w:rightChars="-149" w:firstLine="420" w:firstLineChars="200"/>
        <w:jc w:val="both"/>
        <w:rPr>
          <w:rFonts w:hint="eastAsia" w:asciiTheme="minorHAnsi" w:hAnsiTheme="minorHAnsi" w:eastAsiaTheme="minorEastAsia" w:cstheme="minorBidi"/>
          <w:color w:val="auto"/>
          <w:kern w:val="2"/>
          <w:sz w:val="21"/>
          <w:szCs w:val="24"/>
          <w:lang w:val="en-US" w:eastAsia="zh-CN" w:bidi="ar-SA"/>
        </w:rPr>
      </w:pPr>
      <w:r>
        <w:rPr>
          <w:rFonts w:hint="eastAsia" w:asciiTheme="minorHAnsi" w:hAnsiTheme="minorHAnsi" w:eastAsiaTheme="minorEastAsia" w:cstheme="minorBidi"/>
          <w:color w:val="auto"/>
          <w:kern w:val="2"/>
          <w:sz w:val="21"/>
          <w:szCs w:val="24"/>
          <w:lang w:val="en-US" w:eastAsia="zh-CN" w:bidi="ar-SA"/>
        </w:rPr>
        <w:t>中标供应商应根据图纸提供吊索的深化图并加盖公章，由设计单位确认后方可生产。</w:t>
      </w:r>
    </w:p>
    <w:p>
      <w:pPr>
        <w:pStyle w:val="10"/>
        <w:numPr>
          <w:ilvl w:val="0"/>
          <w:numId w:val="1"/>
        </w:numPr>
        <w:ind w:left="0" w:leftChars="0" w:right="-313" w:rightChars="-149" w:firstLine="420" w:firstLineChars="200"/>
        <w:jc w:val="both"/>
        <w:rPr>
          <w:rFonts w:hint="eastAsia" w:asciiTheme="minorHAnsi" w:hAnsiTheme="minorHAnsi" w:eastAsiaTheme="minorEastAsia" w:cstheme="minorBidi"/>
          <w:color w:val="auto"/>
          <w:kern w:val="2"/>
          <w:sz w:val="21"/>
          <w:szCs w:val="24"/>
          <w:lang w:val="en-US" w:eastAsia="zh-CN" w:bidi="ar-SA"/>
        </w:rPr>
      </w:pPr>
      <w:r>
        <w:rPr>
          <w:rFonts w:hint="eastAsia" w:asciiTheme="minorHAnsi" w:hAnsiTheme="minorHAnsi" w:eastAsiaTheme="minorEastAsia" w:cstheme="minorBidi"/>
          <w:color w:val="auto"/>
          <w:kern w:val="2"/>
          <w:sz w:val="21"/>
          <w:szCs w:val="24"/>
          <w:lang w:val="en-US" w:eastAsia="zh-CN" w:bidi="ar-SA"/>
        </w:rPr>
        <w:t>附件——《4-3吊索构造图》、《4-4吊索构造图》、《13-1吊索构造图》、《13-2吊索构造图》</w:t>
      </w:r>
    </w:p>
    <w:p>
      <w:pPr>
        <w:pStyle w:val="10"/>
        <w:numPr>
          <w:ilvl w:val="0"/>
          <w:numId w:val="1"/>
        </w:numPr>
        <w:ind w:left="0" w:leftChars="0" w:right="-313" w:rightChars="-149" w:firstLine="420" w:firstLineChars="200"/>
        <w:jc w:val="both"/>
        <w:rPr>
          <w:rFonts w:hint="eastAsia" w:asciiTheme="minorHAnsi" w:hAnsiTheme="minorHAnsi" w:eastAsiaTheme="minorEastAsia" w:cstheme="minorBidi"/>
          <w:color w:val="auto"/>
          <w:kern w:val="2"/>
          <w:sz w:val="21"/>
          <w:szCs w:val="24"/>
          <w:lang w:val="en-US" w:eastAsia="zh-CN" w:bidi="ar-SA"/>
        </w:rPr>
      </w:pPr>
      <w:r>
        <w:rPr>
          <w:rFonts w:hint="eastAsia" w:asciiTheme="minorHAnsi" w:hAnsiTheme="minorHAnsi" w:eastAsiaTheme="minorEastAsia" w:cstheme="minorBidi"/>
          <w:color w:val="auto"/>
          <w:kern w:val="2"/>
          <w:sz w:val="21"/>
          <w:szCs w:val="24"/>
          <w:lang w:val="en-US" w:eastAsia="zh-CN" w:bidi="ar-SA"/>
        </w:rPr>
        <w:t>包装及运输要求</w:t>
      </w:r>
      <w:r>
        <w:rPr>
          <w:rFonts w:hint="eastAsia"/>
          <w:lang w:val="en-US" w:eastAsia="zh-CN"/>
        </w:rPr>
        <w:t>（JT/T 449-2021）</w:t>
      </w:r>
      <w:r>
        <w:rPr>
          <w:rFonts w:hint="eastAsia" w:asciiTheme="minorHAnsi" w:hAnsiTheme="minorHAnsi" w:eastAsiaTheme="minorEastAsia" w:cstheme="minorBidi"/>
          <w:color w:val="auto"/>
          <w:kern w:val="2"/>
          <w:sz w:val="21"/>
          <w:szCs w:val="24"/>
          <w:lang w:val="en-US" w:eastAsia="zh-CN" w:bidi="ar-SA"/>
        </w:rPr>
        <w:t>：</w:t>
      </w:r>
    </w:p>
    <w:p>
      <w:pPr>
        <w:pStyle w:val="10"/>
        <w:numPr>
          <w:ilvl w:val="0"/>
          <w:numId w:val="2"/>
        </w:numPr>
        <w:spacing w:line="360" w:lineRule="auto"/>
        <w:ind w:right="-313" w:rightChars="-149"/>
        <w:jc w:val="both"/>
        <w:rPr>
          <w:rFonts w:hint="eastAsia" w:asciiTheme="minorHAnsi" w:hAnsiTheme="minorHAnsi" w:eastAsiaTheme="minorEastAsia" w:cstheme="minorBidi"/>
          <w:color w:val="auto"/>
          <w:kern w:val="2"/>
          <w:sz w:val="21"/>
          <w:szCs w:val="24"/>
          <w:lang w:val="en-US" w:eastAsia="zh-CN" w:bidi="ar-SA"/>
        </w:rPr>
      </w:pPr>
      <w:r>
        <w:rPr>
          <w:rFonts w:hint="eastAsia" w:asciiTheme="minorHAnsi" w:hAnsiTheme="minorHAnsi" w:eastAsiaTheme="minorEastAsia" w:cstheme="minorBidi"/>
          <w:color w:val="auto"/>
          <w:kern w:val="2"/>
          <w:sz w:val="21"/>
          <w:szCs w:val="24"/>
          <w:lang w:val="en-US" w:eastAsia="zh-CN" w:bidi="ar-SA"/>
        </w:rPr>
        <w:t>吊索经出厂检验合格后应独立包装，索体包装共两层：内层棉布、外层包覆纤维编织布。两端锚具涂防锈油脂、用聚丙烯薄膜及塑料纤维编织布双层包装后，再用三合一塑料编织套作整体包裹。</w:t>
      </w:r>
    </w:p>
    <w:p>
      <w:pPr>
        <w:pStyle w:val="10"/>
        <w:numPr>
          <w:ilvl w:val="0"/>
          <w:numId w:val="2"/>
        </w:numPr>
        <w:spacing w:line="360" w:lineRule="auto"/>
        <w:ind w:right="-313" w:rightChars="-149"/>
        <w:jc w:val="both"/>
        <w:rPr>
          <w:rFonts w:hint="default" w:asciiTheme="minorHAnsi" w:hAnsiTheme="minorHAnsi" w:eastAsiaTheme="minorEastAsia" w:cstheme="minorBidi"/>
          <w:color w:val="auto"/>
          <w:kern w:val="2"/>
          <w:sz w:val="21"/>
          <w:szCs w:val="24"/>
          <w:lang w:val="en-US" w:eastAsia="zh-CN" w:bidi="ar-SA"/>
        </w:rPr>
      </w:pPr>
      <w:r>
        <w:rPr>
          <w:rFonts w:hint="eastAsia" w:asciiTheme="minorHAnsi" w:hAnsiTheme="minorHAnsi" w:eastAsiaTheme="minorEastAsia" w:cstheme="minorBidi"/>
          <w:color w:val="auto"/>
          <w:kern w:val="2"/>
          <w:sz w:val="21"/>
          <w:szCs w:val="24"/>
          <w:lang w:val="en-US" w:eastAsia="zh-CN" w:bidi="ar-SA"/>
        </w:rPr>
        <w:t>吊索应以脱胎成圈或钢盘卷绕的形式包装，其圈（盘）绕内径宜不小于20倍吊索直径。</w:t>
      </w:r>
    </w:p>
    <w:p>
      <w:pPr>
        <w:pStyle w:val="10"/>
        <w:numPr>
          <w:ilvl w:val="0"/>
          <w:numId w:val="2"/>
        </w:numPr>
        <w:spacing w:line="360" w:lineRule="auto"/>
        <w:ind w:right="-313" w:rightChars="-149"/>
        <w:jc w:val="both"/>
        <w:rPr>
          <w:rFonts w:hint="default" w:asciiTheme="minorHAnsi" w:hAnsiTheme="minorHAnsi" w:eastAsiaTheme="minorEastAsia" w:cstheme="minorBidi"/>
          <w:color w:val="auto"/>
          <w:kern w:val="2"/>
          <w:sz w:val="21"/>
          <w:szCs w:val="24"/>
          <w:lang w:val="en-US" w:eastAsia="zh-CN" w:bidi="ar-SA"/>
        </w:rPr>
      </w:pPr>
      <w:r>
        <w:rPr>
          <w:rFonts w:hint="eastAsia" w:asciiTheme="minorHAnsi" w:hAnsiTheme="minorHAnsi" w:eastAsiaTheme="minorEastAsia" w:cstheme="minorBidi"/>
          <w:color w:val="auto"/>
          <w:kern w:val="2"/>
          <w:sz w:val="21"/>
          <w:szCs w:val="24"/>
          <w:lang w:val="en-US" w:eastAsia="zh-CN" w:bidi="ar-SA"/>
        </w:rPr>
        <w:t>吊索每盘应采用不损伤索体表面质量的材料捆扎结实，捆扎不少于6道。</w:t>
      </w:r>
    </w:p>
    <w:p>
      <w:pPr>
        <w:pStyle w:val="10"/>
        <w:numPr>
          <w:ilvl w:val="0"/>
          <w:numId w:val="2"/>
        </w:numPr>
        <w:spacing w:line="360" w:lineRule="auto"/>
        <w:ind w:right="-313" w:rightChars="-149"/>
        <w:jc w:val="both"/>
        <w:rPr>
          <w:rFonts w:hint="default" w:asciiTheme="minorHAnsi" w:hAnsiTheme="minorHAnsi" w:eastAsiaTheme="minorEastAsia" w:cstheme="minorBidi"/>
          <w:color w:val="auto"/>
          <w:kern w:val="2"/>
          <w:sz w:val="21"/>
          <w:szCs w:val="24"/>
          <w:lang w:val="en-US" w:eastAsia="zh-CN" w:bidi="ar-SA"/>
        </w:rPr>
      </w:pPr>
      <w:r>
        <w:rPr>
          <w:rFonts w:hint="eastAsia" w:asciiTheme="minorHAnsi" w:hAnsiTheme="minorHAnsi" w:eastAsiaTheme="minorEastAsia" w:cstheme="minorBidi"/>
          <w:color w:val="auto"/>
          <w:kern w:val="2"/>
          <w:sz w:val="21"/>
          <w:szCs w:val="24"/>
          <w:lang w:val="en-US" w:eastAsia="zh-CN" w:bidi="ar-SA"/>
        </w:rPr>
        <w:t>成品吊索运输时应垫防水材料。运输过程中应采取防水、防火措施。应避免易造成包装损坏的运输方式。</w:t>
      </w:r>
    </w:p>
    <w:p>
      <w:pPr>
        <w:pStyle w:val="10"/>
        <w:numPr>
          <w:ilvl w:val="0"/>
          <w:numId w:val="2"/>
        </w:numPr>
        <w:spacing w:line="360" w:lineRule="auto"/>
        <w:ind w:right="-313" w:rightChars="-149"/>
        <w:jc w:val="both"/>
        <w:rPr>
          <w:rFonts w:hint="default" w:asciiTheme="minorHAnsi" w:hAnsiTheme="minorHAnsi" w:eastAsiaTheme="minorEastAsia" w:cstheme="minorBidi"/>
          <w:color w:val="auto"/>
          <w:kern w:val="2"/>
          <w:sz w:val="21"/>
          <w:szCs w:val="24"/>
          <w:lang w:val="en-US" w:eastAsia="zh-CN" w:bidi="ar-SA"/>
        </w:rPr>
      </w:pPr>
      <w:r>
        <w:rPr>
          <w:rFonts w:hint="eastAsia" w:asciiTheme="minorHAnsi" w:hAnsiTheme="minorHAnsi" w:eastAsiaTheme="minorEastAsia" w:cstheme="minorBidi"/>
          <w:color w:val="auto"/>
          <w:kern w:val="2"/>
          <w:sz w:val="21"/>
          <w:szCs w:val="24"/>
          <w:lang w:val="en-US" w:eastAsia="zh-CN" w:bidi="ar-SA"/>
        </w:rPr>
        <w:t>成品吊索在运输和装卸过程中应采取措施防止腐蚀或机械损伤。</w:t>
      </w:r>
    </w:p>
    <w:sectPr>
      <w:pgSz w:w="11906" w:h="16838"/>
      <w:pgMar w:top="1440" w:right="1800" w:bottom="89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1DF5C5"/>
    <w:multiLevelType w:val="singleLevel"/>
    <w:tmpl w:val="9A1DF5C5"/>
    <w:lvl w:ilvl="0" w:tentative="0">
      <w:start w:val="1"/>
      <w:numFmt w:val="decimal"/>
      <w:suff w:val="nothing"/>
      <w:lvlText w:val="%1、"/>
      <w:lvlJc w:val="left"/>
    </w:lvl>
  </w:abstractNum>
  <w:abstractNum w:abstractNumId="1">
    <w:nsid w:val="6431D6C7"/>
    <w:multiLevelType w:val="singleLevel"/>
    <w:tmpl w:val="6431D6C7"/>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yNzU4NWE5MWUxOGUwMWQ2ODNiNmNlODZhN2QxZmUifQ=="/>
  </w:docVars>
  <w:rsids>
    <w:rsidRoot w:val="3A553B8D"/>
    <w:rsid w:val="09C43DCE"/>
    <w:rsid w:val="0CDC00D2"/>
    <w:rsid w:val="0F566DED"/>
    <w:rsid w:val="10D6548F"/>
    <w:rsid w:val="111D68CC"/>
    <w:rsid w:val="1BB0512E"/>
    <w:rsid w:val="234B712C"/>
    <w:rsid w:val="2A657CD9"/>
    <w:rsid w:val="39840D9D"/>
    <w:rsid w:val="3A553B8D"/>
    <w:rsid w:val="4CD97E11"/>
    <w:rsid w:val="4E9645B9"/>
    <w:rsid w:val="5FD844B4"/>
    <w:rsid w:val="71124ABD"/>
    <w:rsid w:val="724E32F1"/>
    <w:rsid w:val="7BDB3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5">
    <w:name w:val="font21"/>
    <w:basedOn w:val="4"/>
    <w:qFormat/>
    <w:uiPriority w:val="0"/>
    <w:rPr>
      <w:rFonts w:ascii="MingLiU" w:hAnsi="MingLiU" w:eastAsia="MingLiU" w:cs="MingLiU"/>
      <w:color w:val="000000"/>
      <w:sz w:val="16"/>
      <w:szCs w:val="16"/>
      <w:u w:val="none"/>
    </w:rPr>
  </w:style>
  <w:style w:type="character" w:customStyle="1" w:styleId="6">
    <w:name w:val="font41"/>
    <w:basedOn w:val="4"/>
    <w:qFormat/>
    <w:uiPriority w:val="0"/>
    <w:rPr>
      <w:rFonts w:hint="eastAsia" w:ascii="宋体" w:hAnsi="宋体" w:eastAsia="宋体" w:cs="宋体"/>
      <w:color w:val="000000"/>
      <w:sz w:val="16"/>
      <w:szCs w:val="16"/>
      <w:u w:val="none"/>
    </w:rPr>
  </w:style>
  <w:style w:type="character" w:customStyle="1" w:styleId="7">
    <w:name w:val="font11"/>
    <w:basedOn w:val="4"/>
    <w:qFormat/>
    <w:uiPriority w:val="0"/>
    <w:rPr>
      <w:rFonts w:hint="default" w:ascii="Times New Roman" w:hAnsi="Times New Roman" w:cs="Times New Roman"/>
      <w:b/>
      <w:color w:val="000000"/>
      <w:sz w:val="18"/>
      <w:szCs w:val="18"/>
      <w:u w:val="none"/>
    </w:rPr>
  </w:style>
  <w:style w:type="character" w:customStyle="1" w:styleId="8">
    <w:name w:val="font61"/>
    <w:basedOn w:val="4"/>
    <w:qFormat/>
    <w:uiPriority w:val="0"/>
    <w:rPr>
      <w:rFonts w:hint="default" w:ascii="Arial" w:hAnsi="Arial" w:cs="Arial"/>
      <w:color w:val="000000"/>
      <w:sz w:val="16"/>
      <w:szCs w:val="16"/>
      <w:u w:val="none"/>
    </w:rPr>
  </w:style>
  <w:style w:type="paragraph" w:customStyle="1" w:styleId="9">
    <w:name w:val="Normal_15"/>
    <w:qFormat/>
    <w:uiPriority w:val="0"/>
    <w:rPr>
      <w:rFonts w:ascii="黑体" w:hAnsi="黑体" w:eastAsia="黑体" w:cs="Times New Roman"/>
      <w:b/>
      <w:sz w:val="32"/>
      <w:szCs w:val="24"/>
      <w:lang w:bidi="ar-SA"/>
    </w:rPr>
  </w:style>
  <w:style w:type="paragraph" w:customStyle="1" w:styleId="10">
    <w:name w:val="Default_0_0"/>
    <w:qFormat/>
    <w:uiPriority w:val="0"/>
    <w:pPr>
      <w:widowControl w:val="0"/>
      <w:autoSpaceDE w:val="0"/>
      <w:autoSpaceDN w:val="0"/>
      <w:adjustRightInd w:val="0"/>
    </w:pPr>
    <w:rPr>
      <w:rFonts w:ascii="Calibri" w:hAnsi="Calibri" w:eastAsia="宋体" w:cs="Calibri"/>
      <w:color w:val="000000"/>
      <w:kern w:val="2"/>
      <w:sz w:val="24"/>
      <w:szCs w:val="24"/>
      <w:lang w:val="en-US" w:eastAsia="zh-CN" w:bidi="ar-SA"/>
    </w:rPr>
  </w:style>
  <w:style w:type="paragraph" w:customStyle="1" w:styleId="11">
    <w:name w:val="CM99_1"/>
    <w:basedOn w:val="10"/>
    <w:next w:val="10"/>
    <w:qFormat/>
    <w:uiPriority w:val="0"/>
    <w:pPr>
      <w:spacing w:after="443"/>
    </w:pPr>
    <w:rPr>
      <w:rFonts w:ascii="宋体" w:hAnsi="Calibri" w:eastAsia="宋体" w:cs="Times New Roman"/>
      <w:color w:val="auto"/>
      <w:kern w:val="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972</Words>
  <Characters>1200</Characters>
  <Lines>0</Lines>
  <Paragraphs>0</Paragraphs>
  <TotalTime>8</TotalTime>
  <ScaleCrop>false</ScaleCrop>
  <LinksUpToDate>false</LinksUpToDate>
  <CharactersWithSpaces>1203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2020-07-31T07:46:00Z</dcterms:created>
  <dc:creator>朱崇伟</dc:creator>
  <cp:lastModifiedBy>朱崇伟</cp:lastModifiedBy>
  <cp:lastPrinted>2022-09-23T06:53:00Z</cp:lastPrinted>
  <dcterms:modified xsi:type="dcterms:W3CDTF">2023-08-18T09:32:02Z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CD85E9AAB45F432AAC854381A6DF8724</vt:lpwstr>
  </property>
</Properties>
</file>