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2023-DHFD-0</w:t>
      </w:r>
      <w:r>
        <w:rPr>
          <w:rFonts w:hint="eastAsia" w:ascii="仿宋" w:hAnsi="仿宋" w:eastAsia="仿宋"/>
          <w:b/>
          <w:kern w:val="0"/>
          <w:sz w:val="32"/>
          <w:szCs w:val="32"/>
          <w:lang w:val="en-US" w:eastAsia="zh-CN"/>
        </w:rPr>
        <w:t>18</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活性炭除臭装置及除臭风机</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活性炭除臭装置及除臭风机</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r>
        <w:rPr>
          <w:rFonts w:hint="eastAsia" w:ascii="仿宋" w:hAnsi="仿宋" w:eastAsia="仿宋" w:cs="仿宋"/>
          <w:b/>
          <w:bCs/>
          <w:color w:val="auto"/>
          <w:sz w:val="28"/>
          <w:szCs w:val="28"/>
          <w:u w:val="single"/>
          <w:lang w:val="en-US" w:eastAsia="zh-CN"/>
        </w:rPr>
        <w:t xml:space="preserve"> </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活性炭除臭装置及除臭风机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德化县生活垃圾焚烧发电项目工程机电安装工程及运营维护（活性炭除臭装置及除臭风机)</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活性炭除臭装置及除臭风机</w:t>
      </w:r>
      <w:r>
        <w:rPr>
          <w:rFonts w:hint="eastAsia" w:ascii="仿宋" w:hAnsi="仿宋" w:eastAsia="仿宋" w:cs="仿宋"/>
          <w:color w:val="auto"/>
          <w:sz w:val="22"/>
          <w:szCs w:val="22"/>
        </w:rPr>
        <w:t>技术规范书》</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1.4本系统设备清单中，按照业主方及甲方要求，如需卖方补供设备清单中未列明的材料、部件等，卖方应按照要求补齐，费用视为包含在总价中，不另行增加。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活性炭除臭装置及除臭风机</w:t>
      </w:r>
      <w:r>
        <w:rPr>
          <w:rFonts w:hint="eastAsia" w:ascii="仿宋" w:hAnsi="仿宋" w:eastAsia="仿宋" w:cs="仿宋"/>
          <w:color w:val="auto"/>
          <w:sz w:val="22"/>
          <w:szCs w:val="22"/>
        </w:rPr>
        <w:t>技术规范书》</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德化县生活垃圾焚烧发电项目工程机电安装工程及运营维护(活性炭除臭装置及除臭风机)</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《活性炭除臭装置及除臭风机技术规范书》及国家、行业相关标准、合同约定标准为准。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活性炭除臭装置及除臭风机</w:t>
      </w:r>
      <w:r>
        <w:rPr>
          <w:rFonts w:hint="eastAsia" w:ascii="仿宋" w:hAnsi="仿宋" w:eastAsia="仿宋" w:cs="仿宋"/>
          <w:color w:val="auto"/>
          <w:sz w:val="22"/>
          <w:szCs w:val="22"/>
          <w:highlight w:val="none"/>
        </w:rPr>
        <w:t>技术规范书》和国家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活性炭除臭装置及除臭风机</w:t>
      </w:r>
      <w:r>
        <w:rPr>
          <w:rFonts w:hint="eastAsia" w:ascii="仿宋" w:hAnsi="仿宋" w:eastAsia="仿宋" w:cs="仿宋"/>
          <w:color w:val="auto"/>
          <w:sz w:val="22"/>
          <w:szCs w:val="22"/>
          <w:highlight w:val="none"/>
        </w:rPr>
        <w:t>技术规范书》和国家标准要求且符合项目所在地的所有相关规范标准规定的要求。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9.1乙方负责安装</w:t>
      </w:r>
      <w:r>
        <w:rPr>
          <w:rFonts w:hint="eastAsia" w:ascii="仿宋" w:hAnsi="仿宋" w:eastAsia="仿宋" w:cs="仿宋"/>
          <w:color w:val="auto"/>
          <w:sz w:val="22"/>
          <w:szCs w:val="22"/>
          <w:highlight w:val="none"/>
          <w:lang w:eastAsia="zh-CN"/>
        </w:rPr>
        <w:t>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活性炭除臭装置及除臭风机</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书》要求的其他相关技术服务。调试内容详见《</w:t>
      </w:r>
      <w:r>
        <w:rPr>
          <w:rFonts w:hint="eastAsia" w:ascii="仿宋" w:hAnsi="仿宋" w:eastAsia="仿宋" w:cs="仿宋"/>
          <w:color w:val="auto"/>
          <w:sz w:val="22"/>
          <w:szCs w:val="22"/>
          <w:lang w:eastAsia="zh-CN"/>
        </w:rPr>
        <w:t>活性炭除臭装置及除臭风机</w:t>
      </w:r>
      <w:r>
        <w:rPr>
          <w:rFonts w:hint="eastAsia" w:ascii="仿宋" w:hAnsi="仿宋" w:eastAsia="仿宋" w:cs="仿宋"/>
          <w:color w:val="auto"/>
          <w:sz w:val="22"/>
          <w:szCs w:val="22"/>
          <w:highlight w:val="none"/>
        </w:rPr>
        <w:t>技术</w:t>
      </w:r>
      <w:r>
        <w:rPr>
          <w:rFonts w:hint="eastAsia" w:ascii="仿宋" w:hAnsi="仿宋" w:eastAsia="仿宋" w:cs="仿宋"/>
          <w:color w:val="auto"/>
          <w:sz w:val="22"/>
          <w:szCs w:val="22"/>
          <w:highlight w:val="none"/>
          <w:lang w:eastAsia="zh-CN"/>
        </w:rPr>
        <w:t>规范</w:t>
      </w:r>
      <w:r>
        <w:rPr>
          <w:rFonts w:hint="eastAsia" w:ascii="仿宋" w:hAnsi="仿宋" w:eastAsia="仿宋" w:cs="仿宋"/>
          <w:color w:val="auto"/>
          <w:sz w:val="22"/>
          <w:szCs w:val="22"/>
          <w:highlight w:val="none"/>
        </w:rPr>
        <w:t>书》。</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w:t>
      </w:r>
      <w:bookmarkStart w:id="0" w:name="_GoBack"/>
      <w:bookmarkEnd w:id="0"/>
      <w:r>
        <w:rPr>
          <w:rFonts w:hint="eastAsia" w:ascii="仿宋" w:hAnsi="仿宋" w:eastAsia="仿宋" w:cs="仿宋"/>
          <w:color w:val="auto"/>
          <w:sz w:val="22"/>
          <w:szCs w:val="22"/>
          <w:highlight w:val="none"/>
        </w:rPr>
        <w:t>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rPr>
        <w:t>陈智峰</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：18650206633</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德化县生活垃圾焚烧发电项目工程机电安装工程及运营维护(活性炭除臭装置及除臭风机)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活性炭除臭装置及除臭风机</w:t>
      </w:r>
      <w:r>
        <w:rPr>
          <w:rFonts w:hint="eastAsia" w:ascii="仿宋" w:hAnsi="仿宋" w:eastAsia="仿宋" w:cs="仿宋"/>
          <w:color w:val="auto"/>
          <w:sz w:val="22"/>
          <w:szCs w:val="22"/>
          <w:highlight w:val="none"/>
        </w:rPr>
        <w:t>技术规范书》所约定的技术要求的，以甲方与总承包方、总承包方与业主签订的技术规范书约定的为准。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 xml:space="preserve">联 系 人：陈晓晨15659989167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期：2023年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F13BA5"/>
    <w:rsid w:val="1D3A4289"/>
    <w:rsid w:val="1D6C6E02"/>
    <w:rsid w:val="1DC72164"/>
    <w:rsid w:val="1DCB30FA"/>
    <w:rsid w:val="1E05249D"/>
    <w:rsid w:val="20872A44"/>
    <w:rsid w:val="21B24950"/>
    <w:rsid w:val="226A0D12"/>
    <w:rsid w:val="24205B69"/>
    <w:rsid w:val="254055CD"/>
    <w:rsid w:val="25FF40BF"/>
    <w:rsid w:val="260121AA"/>
    <w:rsid w:val="28490153"/>
    <w:rsid w:val="29C31BF9"/>
    <w:rsid w:val="2BBC4E7D"/>
    <w:rsid w:val="2D6F5802"/>
    <w:rsid w:val="2DED0882"/>
    <w:rsid w:val="308F0891"/>
    <w:rsid w:val="32937389"/>
    <w:rsid w:val="33D601A2"/>
    <w:rsid w:val="35007E14"/>
    <w:rsid w:val="35915F58"/>
    <w:rsid w:val="35B56411"/>
    <w:rsid w:val="37F0126C"/>
    <w:rsid w:val="38530FFA"/>
    <w:rsid w:val="39916D19"/>
    <w:rsid w:val="39A732AF"/>
    <w:rsid w:val="3AE15A01"/>
    <w:rsid w:val="3B7135F5"/>
    <w:rsid w:val="3B9F77B5"/>
    <w:rsid w:val="3DE8158B"/>
    <w:rsid w:val="3E947D65"/>
    <w:rsid w:val="3F47212A"/>
    <w:rsid w:val="401B3526"/>
    <w:rsid w:val="42134384"/>
    <w:rsid w:val="42D16AA7"/>
    <w:rsid w:val="43857DE4"/>
    <w:rsid w:val="43F233F4"/>
    <w:rsid w:val="44EE2CC9"/>
    <w:rsid w:val="454758F4"/>
    <w:rsid w:val="456A6B0F"/>
    <w:rsid w:val="45CF4855"/>
    <w:rsid w:val="48683F8B"/>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qFormat/>
    <w:uiPriority w:val="0"/>
    <w:rPr>
      <w:b/>
      <w:bCs/>
    </w:rPr>
  </w:style>
  <w:style w:type="paragraph" w:styleId="14">
    <w:name w:val="Body Text First Indent"/>
    <w:basedOn w:val="5"/>
    <w:semiHidden/>
    <w:unhideWhenUsed/>
    <w:qFormat/>
    <w:uiPriority w:val="0"/>
    <w:pPr>
      <w:ind w:firstLine="420" w:firstLineChars="100"/>
    </w:pPr>
  </w:style>
  <w:style w:type="paragraph" w:styleId="15">
    <w:name w:val="Body Text First Indent 2"/>
    <w:basedOn w:val="7"/>
    <w:next w:val="16"/>
    <w:link w:val="38"/>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qFormat/>
    <w:uiPriority w:val="0"/>
    <w:pPr>
      <w:tabs>
        <w:tab w:val="left" w:pos="146"/>
      </w:tabs>
      <w:spacing w:line="360" w:lineRule="auto"/>
      <w:ind w:firstLine="482"/>
    </w:pPr>
    <w:rPr>
      <w:rFonts w:cs="仿宋_GB2312"/>
      <w:sz w:val="28"/>
      <w:szCs w:val="21"/>
    </w:rPr>
  </w:style>
  <w:style w:type="character" w:styleId="19">
    <w:name w:val="Strong"/>
    <w:basedOn w:val="18"/>
    <w:qFormat/>
    <w:uiPriority w:val="0"/>
    <w:rPr>
      <w:b/>
    </w:rPr>
  </w:style>
  <w:style w:type="character" w:styleId="20">
    <w:name w:val="page number"/>
    <w:basedOn w:val="18"/>
    <w:qFormat/>
    <w:uiPriority w:val="0"/>
    <w:rPr>
      <w:rFonts w:ascii="Times New Roman" w:hAnsi="Times New Roman" w:eastAsia="新宋体" w:cs="Times New Roman"/>
    </w:rPr>
  </w:style>
  <w:style w:type="character" w:styleId="21">
    <w:name w:val="FollowedHyperlink"/>
    <w:basedOn w:val="18"/>
    <w:unhideWhenUsed/>
    <w:qFormat/>
    <w:uiPriority w:val="99"/>
    <w:rPr>
      <w:color w:val="954F72"/>
      <w:u w:val="single"/>
    </w:rPr>
  </w:style>
  <w:style w:type="character" w:styleId="22">
    <w:name w:val="Hyperlink"/>
    <w:basedOn w:val="18"/>
    <w:unhideWhenUsed/>
    <w:qFormat/>
    <w:uiPriority w:val="99"/>
    <w:rPr>
      <w:color w:val="0563C1"/>
      <w:u w:val="single"/>
    </w:rPr>
  </w:style>
  <w:style w:type="character" w:styleId="23">
    <w:name w:val="annotation reference"/>
    <w:basedOn w:val="18"/>
    <w:qFormat/>
    <w:uiPriority w:val="0"/>
    <w:rPr>
      <w:sz w:val="21"/>
      <w:szCs w:val="21"/>
    </w:rPr>
  </w:style>
  <w:style w:type="paragraph" w:customStyle="1" w:styleId="24">
    <w:name w:val="正式文"/>
    <w:basedOn w:val="1"/>
    <w:qFormat/>
    <w:uiPriority w:val="0"/>
    <w:pPr>
      <w:autoSpaceDE w:val="0"/>
      <w:autoSpaceDN w:val="0"/>
      <w:adjustRightInd w:val="0"/>
      <w:spacing w:line="440" w:lineRule="exact"/>
      <w:jc w:val="left"/>
    </w:pPr>
    <w:rPr>
      <w:sz w:val="24"/>
      <w:szCs w:val="18"/>
    </w:rPr>
  </w:style>
  <w:style w:type="character" w:customStyle="1" w:styleId="25">
    <w:name w:val="font41"/>
    <w:basedOn w:val="18"/>
    <w:qFormat/>
    <w:uiPriority w:val="0"/>
    <w:rPr>
      <w:rFonts w:hint="eastAsia" w:ascii="宋体" w:hAnsi="宋体" w:eastAsia="宋体" w:cs="宋体"/>
      <w:b/>
      <w:color w:val="000000"/>
      <w:sz w:val="28"/>
      <w:szCs w:val="28"/>
      <w:u w:val="single"/>
    </w:rPr>
  </w:style>
  <w:style w:type="character" w:customStyle="1" w:styleId="26">
    <w:name w:val="font11"/>
    <w:basedOn w:val="18"/>
    <w:qFormat/>
    <w:uiPriority w:val="0"/>
    <w:rPr>
      <w:rFonts w:hint="eastAsia" w:ascii="宋体" w:hAnsi="宋体" w:eastAsia="宋体" w:cs="宋体"/>
      <w:b/>
      <w:color w:val="000000"/>
      <w:sz w:val="28"/>
      <w:szCs w:val="28"/>
      <w:u w:val="none"/>
    </w:rPr>
  </w:style>
  <w:style w:type="character" w:customStyle="1" w:styleId="27">
    <w:name w:val="font01"/>
    <w:basedOn w:val="18"/>
    <w:qFormat/>
    <w:uiPriority w:val="0"/>
    <w:rPr>
      <w:rFonts w:hint="eastAsia" w:ascii="宋体" w:hAnsi="宋体" w:eastAsia="宋体" w:cs="宋体"/>
      <w:b/>
      <w:color w:val="000000"/>
      <w:sz w:val="22"/>
      <w:szCs w:val="22"/>
      <w:u w:val="single"/>
    </w:rPr>
  </w:style>
  <w:style w:type="character" w:customStyle="1" w:styleId="28">
    <w:name w:val="font71"/>
    <w:basedOn w:val="18"/>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qFormat/>
    <w:uiPriority w:val="0"/>
    <w:rPr>
      <w:rFonts w:eastAsia="宋体" w:cs="宋体"/>
      <w:kern w:val="2"/>
      <w:sz w:val="18"/>
      <w:szCs w:val="18"/>
    </w:rPr>
  </w:style>
  <w:style w:type="paragraph" w:customStyle="1" w:styleId="30">
    <w:name w:val="&quot;&quot;列出段落1&quot;&quot;"/>
    <w:basedOn w:val="1"/>
    <w:qFormat/>
    <w:uiPriority w:val="0"/>
    <w:pPr>
      <w:ind w:firstLine="200" w:firstLineChars="200"/>
    </w:pPr>
    <w:rPr>
      <w:rFonts w:eastAsia="新宋体" w:cs="Times New Roman"/>
    </w:rPr>
  </w:style>
  <w:style w:type="paragraph" w:customStyle="1" w:styleId="31">
    <w:name w:val="&quot;&quot;列出段落1&quot;&quot;1"/>
    <w:basedOn w:val="1"/>
    <w:qFormat/>
    <w:uiPriority w:val="0"/>
    <w:pPr>
      <w:ind w:firstLine="200" w:firstLineChars="200"/>
    </w:pPr>
    <w:rPr>
      <w:rFonts w:eastAsia="新宋体" w:cs="Times New Roman"/>
    </w:rPr>
  </w:style>
  <w:style w:type="paragraph" w:customStyle="1" w:styleId="32">
    <w:name w:val="&quot;&quot;列出段落1&quot;&quot;2"/>
    <w:basedOn w:val="1"/>
    <w:qFormat/>
    <w:uiPriority w:val="0"/>
    <w:pPr>
      <w:ind w:firstLine="200" w:firstLineChars="200"/>
    </w:pPr>
    <w:rPr>
      <w:rFonts w:eastAsia="新宋体" w:cs="Times New Roman"/>
    </w:rPr>
  </w:style>
  <w:style w:type="paragraph" w:customStyle="1" w:styleId="33">
    <w:name w:val="&quot;&quot;列出段落1&quot;&quot;3"/>
    <w:basedOn w:val="1"/>
    <w:qFormat/>
    <w:uiPriority w:val="0"/>
    <w:pPr>
      <w:ind w:firstLine="200" w:firstLineChars="200"/>
    </w:pPr>
    <w:rPr>
      <w:rFonts w:eastAsia="新宋体" w:cs="Times New Roman"/>
    </w:rPr>
  </w:style>
  <w:style w:type="paragraph" w:customStyle="1" w:styleId="34">
    <w:name w:val="&quot;列出段落1&quot;"/>
    <w:basedOn w:val="1"/>
    <w:qFormat/>
    <w:uiPriority w:val="0"/>
    <w:pPr>
      <w:ind w:firstLine="200" w:firstLineChars="200"/>
    </w:pPr>
  </w:style>
  <w:style w:type="paragraph" w:customStyle="1" w:styleId="35">
    <w:name w:val="列出段落1"/>
    <w:basedOn w:val="1"/>
    <w:qFormat/>
    <w:uiPriority w:val="0"/>
    <w:pPr>
      <w:ind w:firstLine="200" w:firstLineChars="200"/>
    </w:pPr>
    <w:rPr>
      <w:rFonts w:eastAsia="新宋体" w:cs="Times New Roman"/>
    </w:rPr>
  </w:style>
  <w:style w:type="paragraph" w:customStyle="1" w:styleId="36">
    <w:name w:val="Table Paragraph"/>
    <w:basedOn w:val="1"/>
    <w:qFormat/>
    <w:uiPriority w:val="1"/>
    <w:pPr>
      <w:spacing w:before="65"/>
      <w:ind w:left="25"/>
    </w:pPr>
    <w:rPr>
      <w:rFonts w:ascii="宋体" w:hAnsi="宋体"/>
      <w:lang w:val="zh-CN" w:bidi="zh-CN"/>
    </w:rPr>
  </w:style>
  <w:style w:type="character" w:customStyle="1" w:styleId="37">
    <w:name w:val="正文文本缩进 字符"/>
    <w:basedOn w:val="18"/>
    <w:link w:val="7"/>
    <w:qFormat/>
    <w:uiPriority w:val="99"/>
    <w:rPr>
      <w:rFonts w:ascii="宋体" w:cs="宋体"/>
      <w:kern w:val="2"/>
      <w:sz w:val="28"/>
      <w:szCs w:val="24"/>
    </w:rPr>
  </w:style>
  <w:style w:type="character" w:customStyle="1" w:styleId="38">
    <w:name w:val="正文文本首行缩进 2 字符"/>
    <w:basedOn w:val="37"/>
    <w:link w:val="15"/>
    <w:qFormat/>
    <w:uiPriority w:val="99"/>
    <w:rPr>
      <w:rFonts w:ascii="宋体" w:cs="宋体"/>
      <w:kern w:val="2"/>
      <w:sz w:val="28"/>
      <w:szCs w:val="24"/>
    </w:rPr>
  </w:style>
  <w:style w:type="paragraph" w:customStyle="1" w:styleId="39">
    <w:name w:val="msonormal"/>
    <w:basedOn w:val="1"/>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qFormat/>
    <w:uiPriority w:val="0"/>
    <w:rPr>
      <w:rFonts w:cs="宋体"/>
      <w:kern w:val="2"/>
      <w:sz w:val="21"/>
      <w:szCs w:val="24"/>
    </w:rPr>
  </w:style>
  <w:style w:type="character" w:customStyle="1" w:styleId="51">
    <w:name w:val="批注主题 字符"/>
    <w:basedOn w:val="50"/>
    <w:link w:val="13"/>
    <w:qFormat/>
    <w:uiPriority w:val="0"/>
    <w:rPr>
      <w:rFonts w:cs="宋体"/>
      <w:b/>
      <w:bCs/>
      <w:kern w:val="2"/>
      <w:sz w:val="21"/>
      <w:szCs w:val="24"/>
    </w:rPr>
  </w:style>
  <w:style w:type="paragraph" w:customStyle="1" w:styleId="52">
    <w:name w:val="修订1"/>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qFormat/>
    <w:uiPriority w:val="0"/>
    <w:rPr>
      <w:rFonts w:ascii="Arial" w:hAnsi="Arial" w:eastAsia="黑体"/>
      <w:b/>
      <w:bCs/>
      <w:kern w:val="2"/>
      <w:sz w:val="32"/>
      <w:szCs w:val="32"/>
    </w:rPr>
  </w:style>
  <w:style w:type="paragraph" w:customStyle="1" w:styleId="54">
    <w:name w:val="cucd-0"/>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5076</Words>
  <Characters>5384</Characters>
  <Lines>70</Lines>
  <Paragraphs>19</Paragraphs>
  <TotalTime>2</TotalTime>
  <ScaleCrop>false</ScaleCrop>
  <LinksUpToDate>false</LinksUpToDate>
  <CharactersWithSpaces>5685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2024-01-15T06:32:44Z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EFB0006DD36A4FA0A98EECC478752765_13</vt:lpwstr>
  </property>
</Properties>
</file>