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default" w:ascii="仿宋" w:hAnsi="仿宋" w:eastAsia="仿宋"/>
          <w:b/>
          <w:bCs/>
          <w:kern w:val="0"/>
          <w:sz w:val="32"/>
          <w:szCs w:val="32"/>
          <w:lang w:val="en-US" w:eastAsia="zh-CN"/>
        </w:rPr>
      </w:pPr>
      <w:r>
        <w:rPr>
          <w:rFonts w:hint="eastAsia" w:ascii="仿宋" w:hAnsi="仿宋" w:eastAsia="仿宋"/>
          <w:b/>
          <w:kern w:val="0"/>
          <w:sz w:val="32"/>
          <w:szCs w:val="32"/>
        </w:rPr>
        <w:t>合同编号：</w:t>
      </w:r>
      <w:r>
        <w:rPr>
          <w:rFonts w:ascii="仿宋" w:hAnsi="仿宋" w:eastAsia="仿宋"/>
          <w:b/>
          <w:kern w:val="0"/>
          <w:sz w:val="32"/>
          <w:szCs w:val="32"/>
        </w:rPr>
        <w:t>2023-DHFD-0</w:t>
      </w:r>
      <w:r>
        <w:rPr>
          <w:rFonts w:hint="eastAsia" w:ascii="仿宋" w:hAnsi="仿宋" w:eastAsia="仿宋"/>
          <w:b/>
          <w:kern w:val="0"/>
          <w:sz w:val="32"/>
          <w:szCs w:val="32"/>
          <w:lang w:val="en-US" w:eastAsia="zh-CN"/>
        </w:rPr>
        <w:t>22</w:t>
      </w:r>
    </w:p>
    <w:p>
      <w:pPr>
        <w:jc w:val="center"/>
        <w:rPr>
          <w:rFonts w:ascii="宋体"/>
          <w:b/>
          <w:bCs/>
          <w:color w:val="auto"/>
          <w:kern w:val="0"/>
          <w:sz w:val="52"/>
          <w:szCs w:val="52"/>
          <w:lang w:val="zh-CN"/>
        </w:rPr>
      </w:pPr>
    </w:p>
    <w:p>
      <w:pPr>
        <w:spacing w:line="1440" w:lineRule="exact"/>
        <w:jc w:val="center"/>
        <w:rPr>
          <w:rFonts w:hint="eastAsia" w:ascii="仿宋" w:hAnsi="仿宋" w:eastAsia="仿宋" w:cs="仿宋"/>
          <w:b/>
          <w:color w:val="auto"/>
          <w:sz w:val="64"/>
          <w:szCs w:val="64"/>
          <w:u w:val="single"/>
          <w:lang w:val="en-US" w:eastAsia="zh-CN"/>
        </w:rPr>
      </w:pPr>
      <w:r>
        <w:rPr>
          <w:rFonts w:hint="eastAsia" w:ascii="仿宋" w:hAnsi="仿宋" w:eastAsia="仿宋" w:cs="仿宋"/>
          <w:b/>
          <w:color w:val="auto"/>
          <w:sz w:val="64"/>
          <w:szCs w:val="64"/>
          <w:u w:val="single"/>
          <w:lang w:val="en-US" w:eastAsia="zh-CN"/>
        </w:rPr>
        <w:t>CEMS</w:t>
      </w:r>
    </w:p>
    <w:p>
      <w:pPr>
        <w:spacing w:line="1440" w:lineRule="exact"/>
        <w:ind w:firstLine="3213" w:firstLineChars="500"/>
        <w:jc w:val="both"/>
        <w:rPr>
          <w:rFonts w:hint="eastAsia" w:ascii="仿宋" w:hAnsi="仿宋" w:eastAsia="仿宋" w:cs="仿宋"/>
          <w:b/>
          <w:color w:val="auto"/>
          <w:sz w:val="64"/>
          <w:szCs w:val="64"/>
        </w:rPr>
      </w:pPr>
      <w:r>
        <w:rPr>
          <w:rFonts w:hint="eastAsia" w:ascii="仿宋" w:hAnsi="仿宋" w:eastAsia="仿宋" w:cs="仿宋"/>
          <w:b/>
          <w:color w:val="auto"/>
          <w:sz w:val="64"/>
          <w:szCs w:val="64"/>
        </w:rPr>
        <w:t>采购合同</w:t>
      </w:r>
    </w:p>
    <w:p>
      <w:pPr>
        <w:rPr>
          <w:rFonts w:hint="eastAsia" w:ascii="仿宋" w:hAnsi="仿宋" w:eastAsia="仿宋" w:cs="仿宋"/>
          <w:color w:val="auto"/>
          <w:sz w:val="44"/>
          <w:szCs w:val="44"/>
        </w:rPr>
      </w:pPr>
      <w:r>
        <w:rPr>
          <w:rFonts w:hint="eastAsia" w:ascii="仿宋" w:hAnsi="仿宋" w:eastAsia="仿宋" w:cs="仿宋"/>
          <w:color w:val="auto"/>
          <w:sz w:val="52"/>
          <w:szCs w:val="52"/>
        </w:rPr>
        <w:t xml:space="preserve">            </w:t>
      </w:r>
      <w:r>
        <w:rPr>
          <w:rFonts w:hint="eastAsia" w:ascii="仿宋" w:hAnsi="仿宋" w:eastAsia="仿宋" w:cs="仿宋"/>
          <w:b/>
          <w:color w:val="auto"/>
          <w:kern w:val="0"/>
          <w:sz w:val="22"/>
        </w:rPr>
        <w:t xml:space="preserve"> </w:t>
      </w:r>
    </w:p>
    <w:p>
      <w:pPr>
        <w:rPr>
          <w:rFonts w:hint="eastAsia" w:ascii="仿宋" w:hAnsi="仿宋" w:eastAsia="仿宋" w:cs="仿宋"/>
          <w:color w:val="auto"/>
          <w:sz w:val="52"/>
          <w:szCs w:val="52"/>
        </w:rPr>
      </w:pPr>
    </w:p>
    <w:p>
      <w:pPr>
        <w:rPr>
          <w:rFonts w:hint="eastAsia" w:ascii="仿宋" w:hAnsi="仿宋" w:eastAsia="仿宋" w:cs="仿宋"/>
          <w:color w:val="auto"/>
          <w:sz w:val="52"/>
          <w:szCs w:val="52"/>
        </w:rPr>
      </w:pPr>
    </w:p>
    <w:p>
      <w:pPr>
        <w:ind w:firstLine="1680" w:firstLineChars="6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rPr>
        <w:t>甲    方：</w:t>
      </w:r>
      <w:r>
        <w:rPr>
          <w:rFonts w:hint="eastAsia" w:ascii="仿宋" w:hAnsi="仿宋" w:eastAsia="仿宋" w:cs="仿宋"/>
          <w:color w:val="auto"/>
          <w:sz w:val="28"/>
          <w:szCs w:val="28"/>
          <w:u w:val="single"/>
        </w:rPr>
        <w:t xml:space="preserve"> 福建省工业设备安装有限公司</w:t>
      </w:r>
    </w:p>
    <w:p>
      <w:pPr>
        <w:ind w:left="1676" w:leftChars="798" w:firstLine="0" w:firstLineChars="0"/>
        <w:jc w:val="left"/>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val="en-US" w:eastAsia="zh-CN"/>
        </w:rPr>
        <w:t>乙    方：</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FFFFFF" w:themeColor="background1"/>
          <w:sz w:val="28"/>
          <w:szCs w:val="28"/>
          <w:u w:val="single"/>
          <w:lang w:val="en-US" w:eastAsia="zh-CN"/>
          <w14:textFill>
            <w14:solidFill>
              <w14:schemeClr w14:val="bg1"/>
            </w14:solidFill>
          </w14:textFill>
        </w:rPr>
        <w:t>团</w:t>
      </w:r>
      <w:r>
        <w:rPr>
          <w:rFonts w:hint="eastAsia" w:ascii="仿宋" w:hAnsi="仿宋" w:eastAsia="仿宋" w:cs="仿宋"/>
          <w:color w:val="auto"/>
          <w:sz w:val="28"/>
          <w:szCs w:val="28"/>
          <w:u w:val="thick"/>
          <w:lang w:val="en-US" w:eastAsia="zh-CN"/>
        </w:rPr>
        <w:t xml:space="preserve">              </w:t>
      </w:r>
      <w:r>
        <w:rPr>
          <w:rFonts w:hint="eastAsia" w:ascii="仿宋" w:hAnsi="仿宋" w:eastAsia="仿宋" w:cs="仿宋"/>
          <w:color w:val="auto"/>
          <w:sz w:val="28"/>
          <w:szCs w:val="28"/>
          <w:u w:val="single"/>
          <w:lang w:val="en-US" w:eastAsia="zh-CN"/>
        </w:rPr>
        <w:t xml:space="preserve">                  </w:t>
      </w:r>
    </w:p>
    <w:p>
      <w:pPr>
        <w:ind w:left="1676" w:leftChars="798" w:firstLine="0" w:firstLineChars="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rPr>
        <w:t>项目名称：</w:t>
      </w:r>
      <w:r>
        <w:rPr>
          <w:rFonts w:hint="eastAsia" w:ascii="仿宋" w:hAnsi="仿宋" w:eastAsia="仿宋" w:cs="仿宋"/>
          <w:color w:val="auto"/>
          <w:sz w:val="28"/>
          <w:szCs w:val="28"/>
          <w:u w:val="single"/>
        </w:rPr>
        <w:t>德化县生活垃圾焚烧发电项目</w:t>
      </w:r>
    </w:p>
    <w:p>
      <w:pPr>
        <w:ind w:left="1676" w:leftChars="798" w:firstLine="1400" w:firstLineChars="5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u w:val="single"/>
        </w:rPr>
        <w:t>工程机电安装工程及运营维护</w:t>
      </w:r>
    </w:p>
    <w:p>
      <w:pPr>
        <w:ind w:left="1676" w:leftChars="798" w:firstLine="1400" w:firstLineChars="5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u w:val="single"/>
        </w:rPr>
        <w:t>(</w:t>
      </w:r>
      <w:r>
        <w:rPr>
          <w:rFonts w:hint="eastAsia" w:ascii="仿宋" w:hAnsi="仿宋" w:eastAsia="仿宋" w:cs="仿宋"/>
          <w:color w:val="auto"/>
          <w:sz w:val="28"/>
          <w:szCs w:val="28"/>
          <w:u w:val="single"/>
          <w:lang w:eastAsia="zh-CN"/>
        </w:rPr>
        <w:t>CEMS</w:t>
      </w:r>
      <w:r>
        <w:rPr>
          <w:rFonts w:hint="eastAsia" w:ascii="仿宋" w:hAnsi="仿宋" w:eastAsia="仿宋" w:cs="仿宋"/>
          <w:color w:val="auto"/>
          <w:sz w:val="28"/>
          <w:szCs w:val="28"/>
          <w:u w:val="single"/>
        </w:rPr>
        <w:t xml:space="preserve">) </w:t>
      </w:r>
    </w:p>
    <w:p>
      <w:pPr>
        <w:ind w:firstLine="1680" w:firstLineChars="6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rPr>
        <w:t>项目地址：</w:t>
      </w:r>
      <w:r>
        <w:rPr>
          <w:rFonts w:hint="eastAsia" w:ascii="仿宋" w:hAnsi="仿宋" w:eastAsia="仿宋" w:cs="仿宋"/>
          <w:color w:val="auto"/>
          <w:sz w:val="28"/>
          <w:szCs w:val="28"/>
          <w:u w:val="single"/>
        </w:rPr>
        <w:t>德化县龙门滩镇硕儒村茅仔格</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single"/>
        </w:rPr>
        <w:t xml:space="preserve"> </w:t>
      </w:r>
    </w:p>
    <w:p>
      <w:pPr>
        <w:ind w:firstLine="1680" w:firstLineChars="6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rPr>
        <w:t>签订日期：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single"/>
        </w:rPr>
        <w:t>年</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single"/>
        </w:rPr>
        <w:t>月</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single"/>
        </w:rPr>
        <w:t xml:space="preserve">日    </w:t>
      </w:r>
    </w:p>
    <w:p>
      <w:pPr>
        <w:ind w:firstLine="1680" w:firstLineChars="600"/>
        <w:jc w:val="left"/>
        <w:rPr>
          <w:rFonts w:hint="eastAsia" w:ascii="仿宋" w:hAnsi="仿宋" w:eastAsia="仿宋" w:cs="仿宋"/>
          <w:color w:val="auto"/>
          <w:sz w:val="28"/>
          <w:szCs w:val="28"/>
        </w:rPr>
      </w:pPr>
      <w:r>
        <w:rPr>
          <w:rFonts w:hint="eastAsia" w:ascii="仿宋" w:hAnsi="仿宋" w:eastAsia="仿宋" w:cs="仿宋"/>
          <w:color w:val="auto"/>
          <w:sz w:val="28"/>
          <w:szCs w:val="28"/>
        </w:rPr>
        <w:t>签订地点：</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single"/>
        </w:rPr>
        <w:t xml:space="preserve">        </w:t>
      </w:r>
    </w:p>
    <w:p>
      <w:pPr>
        <w:rPr>
          <w:rFonts w:ascii="宋体"/>
          <w:b/>
          <w:color w:val="auto"/>
          <w:sz w:val="36"/>
        </w:rPr>
        <w:sectPr>
          <w:footerReference r:id="rId3" w:type="default"/>
          <w:footerReference r:id="rId4" w:type="even"/>
          <w:pgSz w:w="11906" w:h="16838"/>
          <w:pgMar w:top="1440" w:right="707" w:bottom="1440" w:left="1588" w:header="851" w:footer="992" w:gutter="0"/>
          <w:pgBorders>
            <w:top w:val="none" w:sz="0" w:space="0"/>
            <w:left w:val="none" w:sz="0" w:space="0"/>
            <w:bottom w:val="none" w:sz="0" w:space="0"/>
            <w:right w:val="none" w:sz="0" w:space="0"/>
          </w:pgBorders>
          <w:pgNumType w:start="1"/>
          <w:cols w:space="720" w:num="1"/>
          <w:docGrid w:type="lines" w:linePitch="312" w:charSpace="0"/>
        </w:sectPr>
      </w:pPr>
    </w:p>
    <w:p>
      <w:pPr>
        <w:ind w:firstLine="2240" w:firstLineChars="800"/>
        <w:jc w:val="left"/>
        <w:rPr>
          <w:rFonts w:ascii="宋体" w:hAnsi="宋体"/>
          <w:color w:val="auto"/>
          <w:sz w:val="28"/>
          <w:szCs w:val="28"/>
        </w:rPr>
      </w:pPr>
    </w:p>
    <w:p>
      <w:pPr>
        <w:spacing w:line="480" w:lineRule="exact"/>
        <w:jc w:val="left"/>
        <w:rPr>
          <w:rFonts w:hint="eastAsia" w:ascii="仿宋" w:hAnsi="仿宋" w:eastAsia="仿宋" w:cs="仿宋"/>
          <w:b/>
          <w:bCs/>
          <w:color w:val="auto"/>
          <w:sz w:val="28"/>
          <w:szCs w:val="28"/>
        </w:rPr>
      </w:pPr>
      <w:r>
        <w:rPr>
          <w:rFonts w:hint="eastAsia" w:ascii="仿宋" w:hAnsi="仿宋" w:eastAsia="仿宋" w:cs="仿宋"/>
          <w:b/>
          <w:bCs/>
          <w:color w:val="auto"/>
          <w:sz w:val="28"/>
          <w:szCs w:val="28"/>
        </w:rPr>
        <w:t>甲方：福建省工业设备安装有限公司</w:t>
      </w:r>
    </w:p>
    <w:p>
      <w:pPr>
        <w:spacing w:line="480" w:lineRule="exact"/>
        <w:jc w:val="left"/>
        <w:rPr>
          <w:rFonts w:hint="eastAsia" w:ascii="仿宋" w:hAnsi="仿宋" w:eastAsia="仿宋" w:cs="仿宋"/>
          <w:b/>
          <w:bCs/>
          <w:color w:val="auto"/>
          <w:sz w:val="28"/>
          <w:szCs w:val="28"/>
        </w:rPr>
      </w:pPr>
      <w:r>
        <w:rPr>
          <w:rFonts w:hint="eastAsia" w:ascii="仿宋" w:hAnsi="仿宋" w:eastAsia="仿宋" w:cs="仿宋"/>
          <w:b/>
          <w:bCs/>
          <w:color w:val="auto"/>
          <w:sz w:val="28"/>
          <w:szCs w:val="28"/>
        </w:rPr>
        <w:t>乙方：</w:t>
      </w:r>
      <w:r>
        <w:rPr>
          <w:rFonts w:hint="eastAsia" w:ascii="仿宋" w:hAnsi="仿宋" w:eastAsia="仿宋" w:cs="仿宋"/>
          <w:b/>
          <w:bCs/>
          <w:color w:val="auto"/>
          <w:sz w:val="28"/>
          <w:szCs w:val="28"/>
          <w:u w:val="single"/>
          <w:lang w:val="en-US" w:eastAsia="zh-CN"/>
        </w:rPr>
        <w:t xml:space="preserve"> </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甲方向乙方采购</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u w:val="single"/>
          <w:lang w:eastAsia="zh-CN"/>
        </w:rPr>
        <w:t>CEMS</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rPr>
        <w:t>，供应</w:t>
      </w:r>
      <w:r>
        <w:rPr>
          <w:rFonts w:hint="eastAsia" w:ascii="仿宋" w:hAnsi="仿宋" w:eastAsia="仿宋" w:cs="仿宋"/>
          <w:color w:val="auto"/>
          <w:sz w:val="22"/>
          <w:szCs w:val="22"/>
          <w:u w:val="single"/>
          <w:lang w:eastAsia="zh-CN"/>
        </w:rPr>
        <w:t>德化县生活垃圾焚烧发电项目工程机电安装工程及运营维护（CEMS)</w:t>
      </w:r>
      <w:r>
        <w:rPr>
          <w:rFonts w:hint="eastAsia" w:ascii="仿宋" w:hAnsi="仿宋" w:eastAsia="仿宋" w:cs="仿宋"/>
          <w:color w:val="auto"/>
          <w:sz w:val="22"/>
          <w:szCs w:val="22"/>
          <w:u w:val="none"/>
          <w:lang w:val="en-US" w:eastAsia="zh-CN"/>
        </w:rPr>
        <w:t>项目</w:t>
      </w:r>
      <w:r>
        <w:rPr>
          <w:rFonts w:hint="eastAsia" w:ascii="仿宋" w:hAnsi="仿宋" w:eastAsia="仿宋" w:cs="仿宋"/>
          <w:color w:val="auto"/>
          <w:sz w:val="22"/>
          <w:szCs w:val="22"/>
        </w:rPr>
        <w:t>（以下简称指定项目）。为确保项目进度和质量，甲乙双方根据《中华人民共和国民法典》及相关法律法规，遵循平等互利和诚实信用原则，经协商一致，签订如下合同条款，双方共同信守。</w:t>
      </w:r>
    </w:p>
    <w:p>
      <w:pPr>
        <w:keepNext w:val="0"/>
        <w:keepLines w:val="0"/>
        <w:pageBreakBefore w:val="0"/>
        <w:numPr>
          <w:ilvl w:val="255"/>
          <w:numId w:val="0"/>
        </w:numPr>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rPr>
      </w:pPr>
      <w:r>
        <w:rPr>
          <w:rFonts w:hint="eastAsia" w:ascii="仿宋" w:hAnsi="仿宋" w:eastAsia="仿宋" w:cs="仿宋"/>
          <w:b/>
          <w:bCs/>
          <w:color w:val="auto"/>
          <w:sz w:val="22"/>
          <w:szCs w:val="22"/>
        </w:rPr>
        <w:t>1 计划采购产品</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u w:val="single"/>
          <w:lang w:eastAsia="zh-CN"/>
        </w:rPr>
      </w:pPr>
      <w:r>
        <w:rPr>
          <w:rFonts w:hint="eastAsia" w:ascii="仿宋" w:hAnsi="仿宋" w:eastAsia="仿宋" w:cs="仿宋"/>
          <w:color w:val="auto"/>
          <w:sz w:val="22"/>
          <w:szCs w:val="22"/>
        </w:rPr>
        <w:t>1.1</w:t>
      </w:r>
      <w:r>
        <w:rPr>
          <w:rFonts w:hint="eastAsia" w:ascii="仿宋" w:hAnsi="仿宋" w:eastAsia="仿宋" w:cs="仿宋"/>
          <w:color w:val="auto"/>
          <w:sz w:val="22"/>
          <w:szCs w:val="22"/>
          <w:highlight w:val="none"/>
        </w:rPr>
        <w:t>产品型号、规格</w:t>
      </w:r>
      <w:r>
        <w:rPr>
          <w:rFonts w:hint="eastAsia" w:ascii="仿宋" w:hAnsi="仿宋" w:eastAsia="仿宋" w:cs="仿宋"/>
          <w:color w:val="auto"/>
          <w:sz w:val="22"/>
          <w:szCs w:val="22"/>
        </w:rPr>
        <w:t>详见附件《</w:t>
      </w:r>
      <w:r>
        <w:rPr>
          <w:rFonts w:hint="eastAsia" w:ascii="仿宋" w:hAnsi="仿宋" w:eastAsia="仿宋" w:cs="仿宋"/>
          <w:color w:val="auto"/>
          <w:sz w:val="22"/>
          <w:szCs w:val="22"/>
          <w:lang w:eastAsia="zh-CN"/>
        </w:rPr>
        <w:t>CEMS</w:t>
      </w:r>
      <w:r>
        <w:rPr>
          <w:rFonts w:hint="eastAsia" w:ascii="仿宋" w:hAnsi="仿宋" w:eastAsia="仿宋" w:cs="仿宋"/>
          <w:color w:val="auto"/>
          <w:sz w:val="22"/>
          <w:szCs w:val="22"/>
        </w:rPr>
        <w:t>技术规范书》</w:t>
      </w:r>
      <w:r>
        <w:rPr>
          <w:rFonts w:hint="eastAsia" w:ascii="仿宋" w:hAnsi="仿宋" w:eastAsia="仿宋" w:cs="仿宋"/>
          <w:color w:val="auto"/>
          <w:sz w:val="22"/>
          <w:szCs w:val="22"/>
          <w:highlight w:val="none"/>
          <w:u w:val="none"/>
          <w:lang w:eastAsia="zh-CN"/>
        </w:rPr>
        <w:t>。</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1.2合同总价：合同含税总价为</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u w:val="single"/>
          <w:lang w:val="en-US" w:eastAsia="zh-CN"/>
        </w:rPr>
        <w:t xml:space="preserve">元 </w:t>
      </w:r>
      <w:r>
        <w:rPr>
          <w:rFonts w:hint="eastAsia" w:ascii="仿宋" w:hAnsi="仿宋" w:eastAsia="仿宋" w:cs="仿宋"/>
          <w:color w:val="auto"/>
          <w:sz w:val="22"/>
          <w:szCs w:val="22"/>
          <w:highlight w:val="none"/>
          <w:lang w:val="en-US" w:eastAsia="zh-CN"/>
        </w:rPr>
        <w:t>（</w:t>
      </w:r>
      <w:r>
        <w:rPr>
          <w:rFonts w:hint="eastAsia" w:ascii="仿宋" w:hAnsi="仿宋" w:eastAsia="仿宋" w:cs="仿宋"/>
          <w:color w:val="auto"/>
          <w:sz w:val="22"/>
          <w:szCs w:val="22"/>
          <w:highlight w:val="none"/>
          <w:u w:val="single"/>
          <w:lang w:val="en-US" w:eastAsia="zh-CN"/>
        </w:rPr>
        <w:t xml:space="preserve">大写：       </w:t>
      </w:r>
      <w:r>
        <w:rPr>
          <w:rFonts w:hint="eastAsia" w:ascii="仿宋" w:hAnsi="仿宋" w:eastAsia="仿宋" w:cs="仿宋"/>
          <w:color w:val="auto"/>
          <w:sz w:val="22"/>
          <w:szCs w:val="22"/>
          <w:highlight w:val="none"/>
        </w:rPr>
        <w:t>），</w:t>
      </w:r>
      <w:r>
        <w:rPr>
          <w:rFonts w:hint="eastAsia" w:ascii="仿宋" w:hAnsi="仿宋" w:eastAsia="仿宋" w:cs="仿宋"/>
          <w:color w:val="auto"/>
          <w:sz w:val="22"/>
          <w:szCs w:val="22"/>
          <w:highlight w:val="none"/>
          <w:lang w:val="en-US" w:eastAsia="zh-CN"/>
        </w:rPr>
        <w:t>不含税</w:t>
      </w:r>
      <w:r>
        <w:rPr>
          <w:rFonts w:hint="eastAsia" w:ascii="仿宋" w:hAnsi="仿宋" w:eastAsia="仿宋" w:cs="仿宋"/>
          <w:color w:val="auto"/>
          <w:sz w:val="22"/>
          <w:szCs w:val="22"/>
          <w:lang w:val="en-US" w:eastAsia="zh-CN"/>
        </w:rPr>
        <w:t>金额为</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lang w:val="en-US" w:eastAsia="zh-CN"/>
        </w:rPr>
        <w:t>元，增值税税额为</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lang w:val="en-US" w:eastAsia="zh-CN"/>
        </w:rPr>
        <w:t>元</w:t>
      </w:r>
      <w:r>
        <w:rPr>
          <w:rFonts w:hint="eastAsia" w:ascii="仿宋" w:hAnsi="仿宋" w:eastAsia="仿宋" w:cs="仿宋"/>
          <w:color w:val="auto"/>
          <w:sz w:val="22"/>
          <w:szCs w:val="22"/>
          <w:highlight w:val="none"/>
          <w:lang w:val="en-US" w:eastAsia="zh-CN"/>
        </w:rPr>
        <w:t>。</w:t>
      </w:r>
      <w:r>
        <w:rPr>
          <w:rFonts w:hint="eastAsia" w:ascii="仿宋" w:hAnsi="仿宋" w:eastAsia="仿宋" w:cs="仿宋"/>
          <w:color w:val="auto"/>
          <w:sz w:val="22"/>
          <w:szCs w:val="22"/>
          <w:highlight w:val="none"/>
        </w:rPr>
        <w:t>增值税专用发票税率</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 xml:space="preserve"> 13</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%。最终按照实际收货数量结算，结算时不含税单价不变且乙方不得以任何原因涨价，否则承担合</w:t>
      </w:r>
      <w:r>
        <w:rPr>
          <w:rFonts w:hint="eastAsia" w:ascii="仿宋" w:hAnsi="仿宋" w:eastAsia="仿宋" w:cs="仿宋"/>
          <w:color w:val="auto"/>
          <w:sz w:val="22"/>
          <w:szCs w:val="22"/>
        </w:rPr>
        <w:t>同总价30%违约金。</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1.3 合同履行期间，若国家税率调整，则合同总价应做调整。是否调整合同总价以开具发票的时间为准。</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sz w:val="22"/>
          <w:szCs w:val="22"/>
        </w:rPr>
      </w:pPr>
      <w:r>
        <w:rPr>
          <w:rFonts w:hint="eastAsia" w:ascii="仿宋" w:hAnsi="仿宋" w:eastAsia="仿宋" w:cs="仿宋"/>
          <w:color w:val="auto"/>
          <w:sz w:val="22"/>
          <w:szCs w:val="22"/>
          <w:lang w:val="en-US" w:eastAsia="zh-CN"/>
        </w:rPr>
        <w:t>1.4本系统设备清单中，按照业主方及甲方要求，如需卖方补供设备清单中未列明的材料、部件等，卖方应按照要求补供，费用视为包含在总价中，不另行增加。</w:t>
      </w:r>
    </w:p>
    <w:p>
      <w:pPr>
        <w:keepNext w:val="0"/>
        <w:keepLines w:val="0"/>
        <w:pageBreakBefore w:val="0"/>
        <w:numPr>
          <w:ilvl w:val="255"/>
          <w:numId w:val="0"/>
        </w:numPr>
        <w:kinsoku/>
        <w:wordWrap/>
        <w:overflowPunct/>
        <w:topLinePunct w:val="0"/>
        <w:autoSpaceDE/>
        <w:autoSpaceDN/>
        <w:bidi w:val="0"/>
        <w:adjustRightInd/>
        <w:spacing w:line="400" w:lineRule="exact"/>
        <w:jc w:val="left"/>
        <w:textAlignment w:val="auto"/>
        <w:rPr>
          <w:rFonts w:hint="eastAsia" w:ascii="仿宋" w:hAnsi="仿宋" w:eastAsia="仿宋" w:cs="仿宋"/>
          <w:color w:val="auto"/>
          <w:sz w:val="22"/>
          <w:szCs w:val="22"/>
        </w:rPr>
      </w:pPr>
      <w:r>
        <w:rPr>
          <w:rFonts w:hint="eastAsia" w:ascii="仿宋" w:hAnsi="仿宋" w:eastAsia="仿宋" w:cs="仿宋"/>
          <w:b/>
          <w:bCs/>
          <w:color w:val="auto"/>
          <w:sz w:val="22"/>
          <w:szCs w:val="22"/>
        </w:rPr>
        <w:t>2 供货清单、运输及包装要求</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2.1乙方供货清单应与《</w:t>
      </w:r>
      <w:r>
        <w:rPr>
          <w:rFonts w:hint="eastAsia" w:ascii="仿宋" w:hAnsi="仿宋" w:eastAsia="仿宋" w:cs="仿宋"/>
          <w:color w:val="auto"/>
          <w:sz w:val="22"/>
          <w:szCs w:val="22"/>
          <w:lang w:eastAsia="zh-CN"/>
        </w:rPr>
        <w:t>CEMS</w:t>
      </w:r>
      <w:r>
        <w:rPr>
          <w:rFonts w:hint="eastAsia" w:ascii="仿宋" w:hAnsi="仿宋" w:eastAsia="仿宋" w:cs="仿宋"/>
          <w:color w:val="auto"/>
          <w:sz w:val="22"/>
          <w:szCs w:val="22"/>
        </w:rPr>
        <w:t>技术规范书》</w:t>
      </w:r>
      <w:r>
        <w:rPr>
          <w:rFonts w:hint="eastAsia" w:ascii="仿宋" w:hAnsi="仿宋" w:eastAsia="仿宋" w:cs="仿宋"/>
          <w:color w:val="auto"/>
          <w:sz w:val="22"/>
          <w:szCs w:val="22"/>
          <w:lang w:eastAsia="zh-CN"/>
        </w:rPr>
        <w:t>清单</w:t>
      </w:r>
      <w:r>
        <w:rPr>
          <w:rFonts w:hint="eastAsia" w:ascii="仿宋" w:hAnsi="仿宋" w:eastAsia="仿宋" w:cs="仿宋"/>
          <w:color w:val="auto"/>
          <w:sz w:val="22"/>
          <w:szCs w:val="22"/>
        </w:rPr>
        <w:t>一致，包括产品主体、随货备品备件。</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2.2货物应提供相关产品资料，包括</w:t>
      </w:r>
      <w:r>
        <w:rPr>
          <w:rFonts w:hint="eastAsia" w:ascii="仿宋" w:hAnsi="仿宋" w:eastAsia="仿宋" w:cs="仿宋"/>
          <w:color w:val="auto"/>
          <w:sz w:val="22"/>
          <w:szCs w:val="22"/>
          <w:lang w:eastAsia="zh-CN"/>
        </w:rPr>
        <w:t>但不限于</w:t>
      </w:r>
      <w:r>
        <w:rPr>
          <w:rFonts w:hint="eastAsia" w:ascii="仿宋" w:hAnsi="仿宋" w:eastAsia="仿宋" w:cs="仿宋"/>
          <w:color w:val="auto"/>
          <w:sz w:val="22"/>
          <w:szCs w:val="22"/>
        </w:rPr>
        <w:t>：</w:t>
      </w:r>
      <w:r>
        <w:rPr>
          <w:rFonts w:hint="eastAsia" w:ascii="仿宋" w:hAnsi="仿宋" w:eastAsia="仿宋" w:cs="仿宋"/>
          <w:color w:val="auto"/>
          <w:sz w:val="22"/>
          <w:szCs w:val="22"/>
          <w:u w:val="single"/>
        </w:rPr>
        <w:t>随货清单、产品使用说明书、产品质量证明文件，产品检测报告，售后服务承诺函</w:t>
      </w:r>
      <w:r>
        <w:rPr>
          <w:rFonts w:hint="eastAsia" w:ascii="仿宋" w:hAnsi="仿宋" w:eastAsia="仿宋" w:cs="仿宋"/>
          <w:color w:val="auto"/>
          <w:sz w:val="22"/>
          <w:szCs w:val="22"/>
          <w:u w:val="single"/>
          <w:lang w:eastAsia="zh-CN"/>
        </w:rPr>
        <w:t>等</w:t>
      </w:r>
      <w:r>
        <w:rPr>
          <w:rFonts w:hint="eastAsia" w:ascii="仿宋" w:hAnsi="仿宋" w:eastAsia="仿宋" w:cs="仿宋"/>
          <w:color w:val="auto"/>
          <w:sz w:val="22"/>
          <w:szCs w:val="22"/>
          <w:u w:val="single"/>
        </w:rPr>
        <w:t>。</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2.3全部运输风险及费用由乙方承担。由乙方提供的产品均按标准保护措施进行包装，包装后的设备应该适合长途运输，防湿、防潮、防震、防锈、耐搬运装卸，以确保产品安全抵达指定现场。</w:t>
      </w:r>
      <w:r>
        <w:rPr>
          <w:rFonts w:hint="eastAsia" w:ascii="仿宋" w:hAnsi="仿宋" w:eastAsia="仿宋" w:cs="仿宋"/>
          <w:color w:val="auto"/>
          <w:sz w:val="22"/>
          <w:szCs w:val="22"/>
          <w:lang w:eastAsia="zh-CN"/>
        </w:rPr>
        <w:t>乙</w:t>
      </w:r>
      <w:r>
        <w:rPr>
          <w:rFonts w:hint="eastAsia" w:ascii="仿宋" w:hAnsi="仿宋" w:eastAsia="仿宋" w:cs="仿宋"/>
          <w:color w:val="auto"/>
          <w:sz w:val="22"/>
          <w:szCs w:val="22"/>
        </w:rPr>
        <w:t>方负责卸货。</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2.4由于包装不良所发生的损失，或由于包装采用不充分或不妥善的防护措施而造成的任何损毁，乙方应负担由此而产生的一切损失。</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2.5包装外应有明显的标记，</w:t>
      </w:r>
      <w:r>
        <w:rPr>
          <w:rFonts w:hint="eastAsia" w:ascii="仿宋" w:hAnsi="仿宋" w:eastAsia="仿宋" w:cs="仿宋"/>
          <w:color w:val="auto"/>
          <w:sz w:val="22"/>
          <w:szCs w:val="22"/>
          <w:u w:val="single"/>
        </w:rPr>
        <w:t>包装物不需回收</w:t>
      </w:r>
      <w:r>
        <w:rPr>
          <w:rFonts w:hint="eastAsia" w:ascii="仿宋" w:hAnsi="仿宋" w:eastAsia="仿宋" w:cs="仿宋"/>
          <w:color w:val="auto"/>
          <w:sz w:val="22"/>
          <w:szCs w:val="22"/>
        </w:rPr>
        <w:t>。</w:t>
      </w:r>
    </w:p>
    <w:p>
      <w:pPr>
        <w:keepNext w:val="0"/>
        <w:keepLines w:val="0"/>
        <w:pageBreakBefore w:val="0"/>
        <w:numPr>
          <w:ilvl w:val="255"/>
          <w:numId w:val="0"/>
        </w:numPr>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rPr>
      </w:pPr>
      <w:r>
        <w:rPr>
          <w:rFonts w:hint="eastAsia" w:ascii="仿宋" w:hAnsi="仿宋" w:eastAsia="仿宋" w:cs="仿宋"/>
          <w:b/>
          <w:bCs/>
          <w:color w:val="auto"/>
          <w:sz w:val="22"/>
          <w:szCs w:val="22"/>
        </w:rPr>
        <w:t>3  交付时间及地点</w:t>
      </w:r>
    </w:p>
    <w:p>
      <w:pPr>
        <w:pStyle w:val="54"/>
        <w:rPr>
          <w:rFonts w:hint="eastAsia" w:ascii="仿宋" w:hAnsi="仿宋" w:eastAsia="仿宋" w:cs="仿宋"/>
          <w:sz w:val="22"/>
          <w:szCs w:val="22"/>
          <w:highlight w:val="none"/>
        </w:rPr>
      </w:pPr>
      <w:r>
        <w:rPr>
          <w:rFonts w:hint="eastAsia" w:ascii="仿宋" w:hAnsi="仿宋" w:eastAsia="仿宋" w:cs="仿宋"/>
          <w:color w:val="auto"/>
          <w:sz w:val="22"/>
          <w:szCs w:val="22"/>
        </w:rPr>
        <w:t>3.1交货时间：</w:t>
      </w:r>
      <w:r>
        <w:rPr>
          <w:rFonts w:hint="eastAsia" w:ascii="仿宋" w:hAnsi="仿宋" w:eastAsia="仿宋" w:cs="仿宋"/>
          <w:sz w:val="22"/>
          <w:szCs w:val="22"/>
        </w:rPr>
        <w:t>双方合同签订收到预付款后，</w:t>
      </w:r>
      <w:r>
        <w:rPr>
          <w:rFonts w:hint="eastAsia" w:ascii="仿宋" w:hAnsi="仿宋" w:eastAsia="仿宋" w:cs="仿宋"/>
          <w:sz w:val="22"/>
          <w:szCs w:val="22"/>
          <w:u w:val="single"/>
          <w:lang w:val="en-US" w:eastAsia="zh-CN"/>
        </w:rPr>
        <w:t xml:space="preserve">    </w:t>
      </w:r>
      <w:r>
        <w:rPr>
          <w:rFonts w:hint="eastAsia" w:ascii="仿宋" w:hAnsi="仿宋" w:eastAsia="仿宋" w:cs="仿宋"/>
          <w:sz w:val="22"/>
          <w:szCs w:val="22"/>
        </w:rPr>
        <w:t>天内交货</w:t>
      </w:r>
      <w:r>
        <w:rPr>
          <w:rFonts w:hint="eastAsia" w:ascii="仿宋" w:hAnsi="仿宋" w:eastAsia="仿宋" w:cs="仿宋"/>
          <w:color w:val="auto"/>
          <w:sz w:val="22"/>
          <w:szCs w:val="22"/>
          <w:highlight w:val="none"/>
        </w:rPr>
        <w:t>。</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3.2交货地点：</w:t>
      </w:r>
      <w:r>
        <w:rPr>
          <w:rFonts w:hint="eastAsia" w:ascii="仿宋" w:hAnsi="仿宋" w:eastAsia="仿宋" w:cs="仿宋"/>
          <w:color w:val="auto"/>
          <w:sz w:val="22"/>
          <w:szCs w:val="22"/>
          <w:highlight w:val="none"/>
          <w:u w:val="single"/>
          <w:lang w:eastAsia="zh-CN"/>
        </w:rPr>
        <w:t>德化县生活垃圾焚烧发电项目工程机电安装工程及运营维护(CEMS)</w:t>
      </w:r>
      <w:r>
        <w:rPr>
          <w:rFonts w:hint="eastAsia" w:ascii="仿宋" w:hAnsi="仿宋" w:eastAsia="仿宋" w:cs="仿宋"/>
          <w:color w:val="auto"/>
          <w:sz w:val="22"/>
          <w:szCs w:val="22"/>
          <w:highlight w:val="none"/>
          <w:u w:val="none"/>
          <w:lang w:val="en-US" w:eastAsia="zh-CN"/>
        </w:rPr>
        <w:t>项目</w:t>
      </w:r>
      <w:r>
        <w:rPr>
          <w:rFonts w:hint="eastAsia" w:ascii="仿宋" w:hAnsi="仿宋" w:eastAsia="仿宋" w:cs="仿宋"/>
          <w:color w:val="auto"/>
          <w:sz w:val="22"/>
          <w:szCs w:val="22"/>
          <w:highlight w:val="none"/>
        </w:rPr>
        <w:t>施工现场内。</w:t>
      </w:r>
    </w:p>
    <w:p>
      <w:pPr>
        <w:keepNext w:val="0"/>
        <w:keepLines w:val="0"/>
        <w:pageBreakBefore w:val="0"/>
        <w:numPr>
          <w:ilvl w:val="255"/>
          <w:numId w:val="0"/>
        </w:numPr>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highlight w:val="none"/>
          <w:lang w:eastAsia="zh-CN"/>
        </w:rPr>
      </w:pPr>
      <w:r>
        <w:rPr>
          <w:rFonts w:hint="eastAsia" w:ascii="仿宋" w:hAnsi="仿宋" w:eastAsia="仿宋" w:cs="仿宋"/>
          <w:b/>
          <w:bCs/>
          <w:color w:val="auto"/>
          <w:sz w:val="22"/>
          <w:szCs w:val="22"/>
          <w:highlight w:val="none"/>
        </w:rPr>
        <w:t xml:space="preserve">4 </w:t>
      </w:r>
      <w:r>
        <w:rPr>
          <w:rFonts w:hint="eastAsia" w:ascii="仿宋" w:hAnsi="仿宋" w:eastAsia="仿宋" w:cs="仿宋"/>
          <w:b/>
          <w:bCs/>
          <w:color w:val="auto"/>
          <w:sz w:val="22"/>
          <w:szCs w:val="22"/>
          <w:highlight w:val="none"/>
          <w:lang w:eastAsia="zh-CN"/>
        </w:rPr>
        <w:t>设备</w:t>
      </w:r>
      <w:r>
        <w:rPr>
          <w:rFonts w:hint="eastAsia" w:ascii="仿宋" w:hAnsi="仿宋" w:eastAsia="仿宋" w:cs="仿宋"/>
          <w:b/>
          <w:bCs/>
          <w:color w:val="auto"/>
          <w:sz w:val="22"/>
          <w:szCs w:val="22"/>
          <w:highlight w:val="none"/>
        </w:rPr>
        <w:t>验收</w:t>
      </w:r>
      <w:r>
        <w:rPr>
          <w:rFonts w:hint="eastAsia" w:ascii="仿宋" w:hAnsi="仿宋" w:eastAsia="仿宋" w:cs="仿宋"/>
          <w:b/>
          <w:bCs/>
          <w:color w:val="auto"/>
          <w:sz w:val="22"/>
          <w:szCs w:val="22"/>
          <w:highlight w:val="none"/>
          <w:lang w:eastAsia="zh-CN"/>
        </w:rPr>
        <w:t>：具体以</w:t>
      </w:r>
      <w:r>
        <w:rPr>
          <w:rFonts w:hint="eastAsia" w:ascii="仿宋" w:hAnsi="仿宋" w:eastAsia="仿宋" w:cs="仿宋"/>
          <w:b/>
          <w:bCs/>
          <w:color w:val="auto"/>
          <w:sz w:val="22"/>
          <w:szCs w:val="22"/>
          <w:highlight w:val="none"/>
          <w:lang w:val="en-US" w:eastAsia="zh-CN"/>
        </w:rPr>
        <w:t>《CEMS技术规范书》及国家、行业相关标准、合同约定标准为准。</w:t>
      </w:r>
    </w:p>
    <w:p>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5 权利瑕疵担保</w:t>
      </w:r>
    </w:p>
    <w:p>
      <w:pPr>
        <w:pStyle w:val="54"/>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5.1乙方应对合同设备，根据水运、陆运和空运等运输方式，向保险公司以甲方为受益人投保发运合同设备价格110％的运输一切险，保险区段为乙方仓库到工地交货后止。</w:t>
      </w:r>
    </w:p>
    <w:p>
      <w:pPr>
        <w:pStyle w:val="54"/>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5.2乙方须保障甲方在使用该产品时不受到第三方关于侵犯专利权、商标权、著作权等知识产权的指控。如果任何第三方提出侵权指控与甲方无关，乙方须与第三方交涉并承担可能发生的责任与一切费用。如甲方因此而遭致损失的，乙方应赔偿该损失。</w:t>
      </w:r>
    </w:p>
    <w:p>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6安全、质量要求</w:t>
      </w:r>
    </w:p>
    <w:p>
      <w:pPr>
        <w:keepNext w:val="0"/>
        <w:keepLines w:val="0"/>
        <w:pageBreakBefore w:val="0"/>
        <w:kinsoku/>
        <w:wordWrap/>
        <w:overflowPunct/>
        <w:topLinePunct w:val="0"/>
        <w:autoSpaceDE/>
        <w:autoSpaceDN/>
        <w:bidi w:val="0"/>
        <w:adjustRightInd/>
        <w:spacing w:line="400" w:lineRule="exact"/>
        <w:ind w:left="210" w:leftChars="100" w:firstLine="220" w:firstLineChars="1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6.1质量标准：符合《</w:t>
      </w:r>
      <w:r>
        <w:rPr>
          <w:rFonts w:hint="eastAsia" w:ascii="仿宋" w:hAnsi="仿宋" w:eastAsia="仿宋" w:cs="仿宋"/>
          <w:color w:val="auto"/>
          <w:sz w:val="22"/>
          <w:szCs w:val="22"/>
          <w:lang w:eastAsia="zh-CN"/>
        </w:rPr>
        <w:t>CEMS</w:t>
      </w:r>
      <w:r>
        <w:rPr>
          <w:rFonts w:hint="eastAsia" w:ascii="仿宋" w:hAnsi="仿宋" w:eastAsia="仿宋" w:cs="仿宋"/>
          <w:color w:val="auto"/>
          <w:sz w:val="22"/>
          <w:szCs w:val="22"/>
          <w:highlight w:val="none"/>
        </w:rPr>
        <w:t>技术规范书》和国家</w:t>
      </w:r>
      <w:r>
        <w:rPr>
          <w:rFonts w:hint="eastAsia" w:ascii="仿宋" w:hAnsi="仿宋" w:eastAsia="仿宋" w:cs="仿宋"/>
          <w:color w:val="auto"/>
          <w:sz w:val="22"/>
          <w:szCs w:val="22"/>
          <w:highlight w:val="none"/>
          <w:lang w:eastAsia="zh-CN"/>
        </w:rPr>
        <w:t>、行业</w:t>
      </w:r>
      <w:r>
        <w:rPr>
          <w:rFonts w:hint="eastAsia" w:ascii="仿宋" w:hAnsi="仿宋" w:eastAsia="仿宋" w:cs="仿宋"/>
          <w:color w:val="auto"/>
          <w:sz w:val="22"/>
          <w:szCs w:val="22"/>
          <w:highlight w:val="none"/>
        </w:rPr>
        <w:t>标准要求且符合项目所在地的所有相关规范标准规定的要求。</w:t>
      </w:r>
    </w:p>
    <w:p>
      <w:pPr>
        <w:keepNext w:val="0"/>
        <w:keepLines w:val="0"/>
        <w:pageBreakBefore w:val="0"/>
        <w:kinsoku/>
        <w:wordWrap/>
        <w:overflowPunct/>
        <w:topLinePunct w:val="0"/>
        <w:autoSpaceDE/>
        <w:autoSpaceDN/>
        <w:bidi w:val="0"/>
        <w:adjustRightInd/>
        <w:spacing w:line="400" w:lineRule="exact"/>
        <w:ind w:left="210" w:leftChars="100" w:firstLine="220" w:firstLineChars="100"/>
        <w:jc w:val="left"/>
        <w:textAlignment w:val="auto"/>
        <w:rPr>
          <w:rFonts w:hint="eastAsia" w:ascii="仿宋" w:hAnsi="仿宋" w:eastAsia="仿宋" w:cs="仿宋"/>
          <w:b/>
          <w:bCs/>
          <w:color w:val="auto"/>
          <w:sz w:val="22"/>
          <w:szCs w:val="22"/>
          <w:highlight w:val="none"/>
        </w:rPr>
      </w:pPr>
      <w:r>
        <w:rPr>
          <w:rFonts w:hint="eastAsia" w:ascii="仿宋" w:hAnsi="仿宋" w:eastAsia="仿宋" w:cs="仿宋"/>
          <w:color w:val="auto"/>
          <w:sz w:val="22"/>
          <w:szCs w:val="22"/>
          <w:highlight w:val="none"/>
        </w:rPr>
        <w:t>6.2产品质量执行贰年三包、终身保修。属于产品质量问题，</w:t>
      </w:r>
      <w:r>
        <w:rPr>
          <w:rFonts w:hint="eastAsia" w:ascii="仿宋" w:hAnsi="仿宋" w:eastAsia="仿宋" w:cs="仿宋"/>
          <w:color w:val="auto"/>
          <w:sz w:val="22"/>
          <w:szCs w:val="22"/>
          <w:highlight w:val="none"/>
          <w:lang w:eastAsia="zh-CN"/>
        </w:rPr>
        <w:t>保</w:t>
      </w:r>
      <w:r>
        <w:rPr>
          <w:rFonts w:hint="eastAsia" w:ascii="仿宋" w:hAnsi="仿宋" w:eastAsia="仿宋" w:cs="仿宋"/>
          <w:color w:val="auto"/>
          <w:sz w:val="22"/>
          <w:szCs w:val="22"/>
          <w:highlight w:val="none"/>
        </w:rPr>
        <w:t>修期</w:t>
      </w:r>
      <w:r>
        <w:rPr>
          <w:rFonts w:hint="eastAsia" w:ascii="仿宋" w:hAnsi="仿宋" w:eastAsia="仿宋" w:cs="仿宋"/>
          <w:color w:val="auto"/>
          <w:sz w:val="22"/>
          <w:szCs w:val="22"/>
          <w:highlight w:val="none"/>
          <w:lang w:eastAsia="zh-CN"/>
        </w:rPr>
        <w:t>（质保期）</w:t>
      </w:r>
      <w:r>
        <w:rPr>
          <w:rFonts w:hint="eastAsia" w:ascii="仿宋" w:hAnsi="仿宋" w:eastAsia="仿宋" w:cs="仿宋"/>
          <w:color w:val="auto"/>
          <w:sz w:val="22"/>
          <w:szCs w:val="22"/>
          <w:highlight w:val="none"/>
        </w:rPr>
        <w:t>内包修、包换、包退，并为客户提供终身维修服务，配件优惠供应。</w:t>
      </w:r>
    </w:p>
    <w:p>
      <w:pPr>
        <w:keepNext w:val="0"/>
        <w:keepLines w:val="0"/>
        <w:pageBreakBefore w:val="0"/>
        <w:kinsoku/>
        <w:wordWrap/>
        <w:overflowPunct/>
        <w:topLinePunct w:val="0"/>
        <w:autoSpaceDE/>
        <w:autoSpaceDN/>
        <w:bidi w:val="0"/>
        <w:adjustRightInd/>
        <w:spacing w:line="400" w:lineRule="exact"/>
        <w:ind w:left="210" w:leftChars="100" w:firstLine="220" w:firstLineChars="1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6.3乙方保证本合同中向甲方提供的产品为全新的并且符合《</w:t>
      </w:r>
      <w:r>
        <w:rPr>
          <w:rFonts w:hint="eastAsia" w:ascii="仿宋" w:hAnsi="仿宋" w:eastAsia="仿宋" w:cs="仿宋"/>
          <w:color w:val="auto"/>
          <w:sz w:val="22"/>
          <w:szCs w:val="22"/>
          <w:lang w:eastAsia="zh-CN"/>
        </w:rPr>
        <w:t>CEMS</w:t>
      </w:r>
      <w:r>
        <w:rPr>
          <w:rFonts w:hint="eastAsia" w:ascii="仿宋" w:hAnsi="仿宋" w:eastAsia="仿宋" w:cs="仿宋"/>
          <w:color w:val="auto"/>
          <w:sz w:val="22"/>
          <w:szCs w:val="22"/>
          <w:highlight w:val="none"/>
        </w:rPr>
        <w:t>技术规范书》和国家标准要求且符合项目所在地的所有相关规范标准规定的要求。</w:t>
      </w:r>
    </w:p>
    <w:p>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7 付款方式、期限</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b w:val="0"/>
          <w:bCs w:val="0"/>
          <w:color w:val="auto"/>
          <w:sz w:val="22"/>
          <w:szCs w:val="22"/>
          <w:highlight w:val="none"/>
        </w:rPr>
      </w:pPr>
      <w:r>
        <w:rPr>
          <w:rFonts w:hint="eastAsia" w:ascii="仿宋" w:hAnsi="仿宋" w:eastAsia="仿宋" w:cs="仿宋"/>
          <w:b w:val="0"/>
          <w:bCs w:val="0"/>
          <w:color w:val="auto"/>
          <w:sz w:val="22"/>
          <w:szCs w:val="22"/>
          <w:highlight w:val="none"/>
          <w:lang w:val="en-US" w:eastAsia="zh-CN"/>
        </w:rPr>
        <w:t>7.1</w:t>
      </w:r>
      <w:r>
        <w:rPr>
          <w:rFonts w:hint="eastAsia" w:ascii="仿宋" w:hAnsi="仿宋" w:eastAsia="仿宋" w:cs="仿宋"/>
          <w:b w:val="0"/>
          <w:bCs w:val="0"/>
          <w:color w:val="auto"/>
          <w:sz w:val="22"/>
          <w:szCs w:val="22"/>
          <w:highlight w:val="none"/>
        </w:rPr>
        <w:t>付款方式、期限</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7.1</w:t>
      </w:r>
      <w:r>
        <w:rPr>
          <w:rFonts w:hint="eastAsia" w:ascii="仿宋" w:hAnsi="仿宋" w:eastAsia="仿宋" w:cs="仿宋"/>
          <w:color w:val="auto"/>
          <w:sz w:val="22"/>
          <w:szCs w:val="22"/>
          <w:highlight w:val="none"/>
          <w:lang w:val="en-US" w:eastAsia="zh-CN"/>
        </w:rPr>
        <w:t>.1</w:t>
      </w:r>
      <w:r>
        <w:rPr>
          <w:rFonts w:hint="eastAsia" w:ascii="仿宋" w:hAnsi="仿宋" w:eastAsia="仿宋" w:cs="仿宋"/>
          <w:color w:val="auto"/>
          <w:sz w:val="22"/>
          <w:szCs w:val="22"/>
          <w:highlight w:val="none"/>
        </w:rPr>
        <w:t xml:space="preserve"> 设备及工器具购置费的支付：</w:t>
      </w:r>
      <w:r>
        <w:rPr>
          <w:rFonts w:hint="eastAsia" w:ascii="仿宋" w:hAnsi="仿宋" w:eastAsia="仿宋" w:cs="仿宋"/>
          <w:color w:val="auto"/>
          <w:sz w:val="22"/>
          <w:szCs w:val="22"/>
          <w:highlight w:val="none"/>
          <w:lang w:eastAsia="zh-CN"/>
        </w:rPr>
        <w:t>合同</w:t>
      </w:r>
      <w:r>
        <w:rPr>
          <w:rFonts w:hint="eastAsia" w:ascii="仿宋" w:hAnsi="仿宋" w:eastAsia="仿宋" w:cs="仿宋"/>
          <w:color w:val="auto"/>
          <w:sz w:val="22"/>
          <w:szCs w:val="22"/>
          <w:highlight w:val="none"/>
        </w:rPr>
        <w:t>签订之日起30日内预付10%</w:t>
      </w:r>
      <w:r>
        <w:rPr>
          <w:rFonts w:hint="eastAsia" w:ascii="仿宋" w:hAnsi="仿宋" w:eastAsia="仿宋" w:cs="仿宋"/>
          <w:color w:val="auto"/>
          <w:sz w:val="22"/>
          <w:szCs w:val="22"/>
          <w:highlight w:val="none"/>
          <w:lang w:eastAsia="zh-CN"/>
        </w:rPr>
        <w:t>，</w:t>
      </w:r>
      <w:r>
        <w:rPr>
          <w:rFonts w:hint="eastAsia" w:ascii="仿宋" w:hAnsi="仿宋" w:eastAsia="仿宋" w:cs="仿宋"/>
          <w:color w:val="auto"/>
          <w:sz w:val="22"/>
          <w:szCs w:val="22"/>
          <w:highlight w:val="none"/>
        </w:rPr>
        <w:t>设备到场支付该设备款项的70%（应扣除相应预付款）；72+24小时满负荷试运行通过后支付到设备总价款的85%；性能验收通过后支付到设备总价款的90%；环保验收、</w:t>
      </w:r>
      <w:r>
        <w:rPr>
          <w:rFonts w:hint="eastAsia" w:ascii="仿宋" w:hAnsi="仿宋" w:eastAsia="仿宋" w:cs="仿宋"/>
          <w:color w:val="auto"/>
          <w:sz w:val="22"/>
          <w:szCs w:val="22"/>
          <w:highlight w:val="none"/>
          <w:lang w:val="en-US" w:eastAsia="zh-CN"/>
        </w:rPr>
        <w:t>档</w:t>
      </w:r>
      <w:r>
        <w:rPr>
          <w:rFonts w:hint="eastAsia" w:ascii="仿宋" w:hAnsi="仿宋" w:eastAsia="仿宋" w:cs="仿宋"/>
          <w:color w:val="auto"/>
          <w:sz w:val="22"/>
          <w:szCs w:val="22"/>
          <w:highlight w:val="none"/>
        </w:rPr>
        <w:t>案验收并经结算</w:t>
      </w:r>
      <w:r>
        <w:rPr>
          <w:rFonts w:hint="eastAsia" w:ascii="仿宋" w:hAnsi="仿宋" w:eastAsia="仿宋" w:cs="仿宋"/>
          <w:color w:val="auto"/>
          <w:sz w:val="22"/>
          <w:szCs w:val="22"/>
          <w:highlight w:val="none"/>
          <w:lang w:eastAsia="zh-CN"/>
        </w:rPr>
        <w:t>审核通过</w:t>
      </w:r>
      <w:r>
        <w:rPr>
          <w:rFonts w:hint="eastAsia" w:ascii="仿宋" w:hAnsi="仿宋" w:eastAsia="仿宋" w:cs="仿宋"/>
          <w:color w:val="auto"/>
          <w:sz w:val="22"/>
          <w:szCs w:val="22"/>
          <w:highlight w:val="none"/>
        </w:rPr>
        <w:t>后支付至结算审核价的97%，</w:t>
      </w:r>
      <w:r>
        <w:rPr>
          <w:rFonts w:hint="eastAsia" w:ascii="仿宋" w:hAnsi="仿宋" w:eastAsia="仿宋" w:cs="仿宋"/>
          <w:color w:val="auto"/>
          <w:sz w:val="22"/>
          <w:szCs w:val="22"/>
          <w:highlight w:val="none"/>
          <w:lang w:eastAsia="zh-CN"/>
        </w:rPr>
        <w:t>余</w:t>
      </w:r>
      <w:r>
        <w:rPr>
          <w:rFonts w:hint="eastAsia" w:ascii="仿宋" w:hAnsi="仿宋" w:eastAsia="仿宋" w:cs="仿宋"/>
          <w:color w:val="auto"/>
          <w:sz w:val="22"/>
          <w:szCs w:val="22"/>
          <w:highlight w:val="none"/>
        </w:rPr>
        <w:t>结算审核价的3%作为质保金在缺陷责任期结束后30个工作日内付清。调试试运行费的支付：72+24小时满负荷试运行通过后15天内支付。</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7.1.2甲方每次付款前乙方必须先提供真实合法有效的等额税率为13%的增值税专用发票，否则甲方有权暂缓或拒绝付款并不构成违约。甲方不承担由此产生的逾期付款责任，乙方供货期不予顺延。</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sz w:val="22"/>
          <w:szCs w:val="22"/>
          <w:highlight w:val="none"/>
        </w:rPr>
      </w:pPr>
      <w:r>
        <w:rPr>
          <w:rFonts w:hint="eastAsia" w:ascii="仿宋" w:hAnsi="仿宋" w:eastAsia="仿宋" w:cs="仿宋"/>
          <w:color w:val="auto"/>
          <w:sz w:val="22"/>
          <w:szCs w:val="22"/>
          <w:highlight w:val="none"/>
        </w:rPr>
        <w:t>7.1.3双方约定：在本合同所约定项目工程的发包人/承包人按照总包合同/分包合同的约定向甲方支付相应工程款后，甲方再按照本合同约定向乙方支付货款，在发包人/承包人延迟付款或拒付工程款时，乙方同意甲方延迟付款或拒不付款且甲方不因此构成违约。</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7.2发票要求</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7.2.1乙方必须保证提供给甲方的发票的面额数据与乙方缴销税务机关和乙方所留存的发存根联填列数据相符；因乙方提供的发票不符合税务部门的要求，导致甲方从乙方取得的增值税专用发票不能报验抵扣进项税金，或虽因可通过报验但报验后被税务机关以“比对不符”或“失控发票”等事由追缴税款，而给甲方造成的经济损失，由乙方负责赔偿。</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7.2.2 乙方开具的票据在送达甲方以前如发生丢失、灭失或被盗，乙方应负责按税法规定向甲方提供有关丢失发票的存根联复印件，应负责提供乙方所在地主管税务机关开具的“增值税一般纳税人丢失防伪税控开具增值税专用发票已抄报税证明单”并确保甲方顺利获得抵扣。否则，由此造成的经济损失由乙方负责。</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7.2.3开票信息如下：</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公司名称：福建省工业设备安装有限公司地址：福建省福州市福新路297号</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纳税人识别号：91350000158162691H </w:t>
      </w:r>
      <w:r>
        <w:rPr>
          <w:rFonts w:hint="eastAsia" w:ascii="仿宋" w:hAnsi="仿宋" w:eastAsia="仿宋" w:cs="仿宋"/>
          <w:color w:val="auto"/>
          <w:sz w:val="22"/>
          <w:szCs w:val="22"/>
          <w:highlight w:val="none"/>
        </w:rPr>
        <w:tab/>
      </w:r>
      <w:r>
        <w:rPr>
          <w:rFonts w:hint="eastAsia" w:ascii="仿宋" w:hAnsi="仿宋" w:eastAsia="仿宋" w:cs="仿宋"/>
          <w:color w:val="auto"/>
          <w:sz w:val="22"/>
          <w:szCs w:val="22"/>
          <w:highlight w:val="none"/>
        </w:rPr>
        <w:t>电话：0591-87564310</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开户行：中国建设银行股份有限公司福建省分行账号：35001002406050006006</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发票对应的货品信息（包括型号规格、单位、数量、金额等）必须与本合同一致。</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7.3乙方指定收款账户</w:t>
      </w:r>
    </w:p>
    <w:tbl>
      <w:tblPr>
        <w:tblStyle w:val="17"/>
        <w:tblW w:w="8381" w:type="dxa"/>
        <w:jc w:val="center"/>
        <w:tblLayout w:type="fixed"/>
        <w:tblCellMar>
          <w:top w:w="0" w:type="dxa"/>
          <w:left w:w="108" w:type="dxa"/>
          <w:bottom w:w="0" w:type="dxa"/>
          <w:right w:w="108" w:type="dxa"/>
        </w:tblCellMar>
      </w:tblPr>
      <w:tblGrid>
        <w:gridCol w:w="1637"/>
        <w:gridCol w:w="6744"/>
      </w:tblGrid>
      <w:tr>
        <w:tblPrEx>
          <w:tblCellMar>
            <w:top w:w="0" w:type="dxa"/>
            <w:left w:w="108" w:type="dxa"/>
            <w:bottom w:w="0" w:type="dxa"/>
            <w:right w:w="108" w:type="dxa"/>
          </w:tblCellMar>
        </w:tblPrEx>
        <w:trPr>
          <w:jc w:val="center"/>
        </w:trPr>
        <w:tc>
          <w:tcPr>
            <w:tcW w:w="16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00" w:lineRule="exact"/>
              <w:ind w:firstLine="48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户名</w:t>
            </w:r>
          </w:p>
        </w:tc>
        <w:tc>
          <w:tcPr>
            <w:tcW w:w="674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Cs/>
                <w:color w:val="auto"/>
                <w:sz w:val="22"/>
                <w:szCs w:val="22"/>
                <w:highlight w:val="none"/>
              </w:rPr>
            </w:pPr>
          </w:p>
        </w:tc>
      </w:tr>
      <w:tr>
        <w:tblPrEx>
          <w:tblCellMar>
            <w:top w:w="0" w:type="dxa"/>
            <w:left w:w="108" w:type="dxa"/>
            <w:bottom w:w="0" w:type="dxa"/>
            <w:right w:w="108" w:type="dxa"/>
          </w:tblCellMar>
        </w:tblPrEx>
        <w:trPr>
          <w:jc w:val="center"/>
        </w:trPr>
        <w:tc>
          <w:tcPr>
            <w:tcW w:w="16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00" w:lineRule="exact"/>
              <w:ind w:firstLine="48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开户行</w:t>
            </w:r>
          </w:p>
        </w:tc>
        <w:tc>
          <w:tcPr>
            <w:tcW w:w="674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Cs/>
                <w:color w:val="auto"/>
                <w:sz w:val="22"/>
                <w:szCs w:val="22"/>
                <w:highlight w:val="none"/>
              </w:rPr>
            </w:pPr>
          </w:p>
        </w:tc>
      </w:tr>
      <w:tr>
        <w:tblPrEx>
          <w:tblCellMar>
            <w:top w:w="0" w:type="dxa"/>
            <w:left w:w="108" w:type="dxa"/>
            <w:bottom w:w="0" w:type="dxa"/>
            <w:right w:w="108" w:type="dxa"/>
          </w:tblCellMar>
        </w:tblPrEx>
        <w:trPr>
          <w:jc w:val="center"/>
        </w:trPr>
        <w:tc>
          <w:tcPr>
            <w:tcW w:w="16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00" w:lineRule="exact"/>
              <w:ind w:firstLine="48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账号</w:t>
            </w:r>
          </w:p>
        </w:tc>
        <w:tc>
          <w:tcPr>
            <w:tcW w:w="674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Cs/>
                <w:color w:val="auto"/>
                <w:sz w:val="22"/>
                <w:szCs w:val="22"/>
                <w:highlight w:val="none"/>
              </w:rPr>
            </w:pPr>
          </w:p>
        </w:tc>
      </w:tr>
    </w:tbl>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甲方将款项汇入乙方指定账户，视为乙方已收到款项。因乙方指定账户发生纠纷，均由乙方负责，概与甲方无关。</w:t>
      </w:r>
    </w:p>
    <w:p>
      <w:pPr>
        <w:pStyle w:val="24"/>
        <w:ind w:firstLine="440" w:firstLineChars="200"/>
        <w:rPr>
          <w:rFonts w:hint="eastAsia" w:ascii="仿宋" w:hAnsi="仿宋" w:eastAsia="仿宋" w:cs="仿宋"/>
          <w:sz w:val="22"/>
          <w:szCs w:val="22"/>
          <w:highlight w:val="none"/>
          <w:lang w:val="en-US" w:eastAsia="zh-CN"/>
        </w:rPr>
      </w:pPr>
      <w:r>
        <w:rPr>
          <w:rFonts w:hint="eastAsia" w:ascii="仿宋" w:hAnsi="仿宋" w:eastAsia="仿宋" w:cs="仿宋"/>
          <w:color w:val="auto"/>
          <w:sz w:val="22"/>
          <w:szCs w:val="22"/>
          <w:highlight w:val="none"/>
          <w:lang w:val="en-US" w:eastAsia="zh-CN"/>
        </w:rPr>
        <w:t>7.4 乙方理解并同意，由于发包人未能按总包合同约定支付甲方工程款/设备款，甲方相应顺延乙方的款项支付，甲方无需对乙方承担任何违约责任。</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8 质保责任</w:t>
      </w:r>
    </w:p>
    <w:p>
      <w:pPr>
        <w:keepNext w:val="0"/>
        <w:keepLines w:val="0"/>
        <w:pageBreakBefore w:val="0"/>
        <w:widowControl/>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8.1本合同产品保修期为</w:t>
      </w:r>
      <w:r>
        <w:rPr>
          <w:rFonts w:hint="eastAsia" w:ascii="仿宋" w:hAnsi="仿宋" w:eastAsia="仿宋" w:cs="仿宋"/>
          <w:color w:val="auto"/>
          <w:kern w:val="0"/>
          <w:sz w:val="22"/>
          <w:szCs w:val="22"/>
          <w:highlight w:val="none"/>
          <w:lang w:bidi="ar"/>
        </w:rPr>
        <w:t>设备调试合格之日起计 24 个月，或设备交货之日起 27 个月，</w:t>
      </w:r>
      <w:r>
        <w:rPr>
          <w:rFonts w:hint="eastAsia" w:ascii="仿宋" w:hAnsi="仿宋" w:eastAsia="仿宋" w:cs="仿宋"/>
          <w:color w:val="auto"/>
          <w:sz w:val="22"/>
          <w:szCs w:val="22"/>
          <w:highlight w:val="none"/>
          <w:u w:val="single"/>
        </w:rPr>
        <w:t>（时间点以先到为准）</w:t>
      </w:r>
      <w:r>
        <w:rPr>
          <w:rFonts w:hint="eastAsia" w:ascii="仿宋" w:hAnsi="仿宋" w:eastAsia="仿宋" w:cs="仿宋"/>
          <w:color w:val="auto"/>
          <w:sz w:val="22"/>
          <w:szCs w:val="22"/>
          <w:highlight w:val="none"/>
        </w:rPr>
        <w:t>，因产品质量造成的产品故障由乙方负责免费保修。（不含人为或自然灾害因素造成的损坏）</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8.2在质保期内，本系统产品若发生故障，乙方应在</w:t>
      </w:r>
      <w:r>
        <w:rPr>
          <w:rFonts w:hint="eastAsia" w:ascii="仿宋" w:hAnsi="仿宋" w:eastAsia="仿宋" w:cs="仿宋"/>
          <w:color w:val="auto"/>
          <w:sz w:val="22"/>
          <w:szCs w:val="22"/>
          <w:highlight w:val="none"/>
          <w:u w:val="single"/>
        </w:rPr>
        <w:t xml:space="preserve">  24 </w:t>
      </w:r>
      <w:r>
        <w:rPr>
          <w:rFonts w:hint="eastAsia" w:ascii="仿宋" w:hAnsi="仿宋" w:eastAsia="仿宋" w:cs="仿宋"/>
          <w:color w:val="auto"/>
          <w:sz w:val="22"/>
          <w:szCs w:val="22"/>
          <w:highlight w:val="none"/>
        </w:rPr>
        <w:t>小时内响应，3</w:t>
      </w:r>
      <w:r>
        <w:rPr>
          <w:rFonts w:hint="eastAsia" w:ascii="仿宋" w:hAnsi="仿宋" w:eastAsia="仿宋" w:cs="仿宋"/>
          <w:color w:val="auto"/>
          <w:sz w:val="22"/>
          <w:szCs w:val="22"/>
          <w:highlight w:val="none"/>
          <w:u w:val="single"/>
        </w:rPr>
        <w:t>*24</w:t>
      </w:r>
      <w:r>
        <w:rPr>
          <w:rFonts w:hint="eastAsia" w:ascii="仿宋" w:hAnsi="仿宋" w:eastAsia="仿宋" w:cs="仿宋"/>
          <w:color w:val="auto"/>
          <w:sz w:val="22"/>
          <w:szCs w:val="22"/>
          <w:highlight w:val="none"/>
        </w:rPr>
        <w:t>小时内修复；因特殊情况而在3</w:t>
      </w:r>
      <w:r>
        <w:rPr>
          <w:rFonts w:hint="eastAsia" w:ascii="仿宋" w:hAnsi="仿宋" w:eastAsia="仿宋" w:cs="仿宋"/>
          <w:color w:val="auto"/>
          <w:sz w:val="22"/>
          <w:szCs w:val="22"/>
          <w:highlight w:val="none"/>
          <w:u w:val="single"/>
        </w:rPr>
        <w:t>*24</w:t>
      </w:r>
      <w:r>
        <w:rPr>
          <w:rFonts w:hint="eastAsia" w:ascii="仿宋" w:hAnsi="仿宋" w:eastAsia="仿宋" w:cs="仿宋"/>
          <w:color w:val="auto"/>
          <w:sz w:val="22"/>
          <w:szCs w:val="22"/>
          <w:highlight w:val="none"/>
        </w:rPr>
        <w:t>小时内无法修复的，乙方应提供备品备件，保证系统正常运行。</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8.3在质保期内，乙方应免费提供售后质保服务，但属于因不正常操作及人为或自然灾害、甲方自行卸改换机内任何部分（如线路、零件等）以及非专业技术人员</w:t>
      </w:r>
      <w:r>
        <w:rPr>
          <w:rFonts w:hint="eastAsia" w:ascii="仿宋" w:hAnsi="仿宋" w:eastAsia="仿宋" w:cs="仿宋"/>
          <w:color w:val="auto"/>
          <w:sz w:val="22"/>
          <w:szCs w:val="22"/>
          <w:highlight w:val="none"/>
          <w:lang w:eastAsia="zh-CN"/>
        </w:rPr>
        <w:t>指导</w:t>
      </w:r>
      <w:r>
        <w:rPr>
          <w:rFonts w:hint="eastAsia" w:ascii="仿宋" w:hAnsi="仿宋" w:eastAsia="仿宋" w:cs="仿宋"/>
          <w:color w:val="auto"/>
          <w:sz w:val="22"/>
          <w:szCs w:val="22"/>
          <w:highlight w:val="none"/>
        </w:rPr>
        <w:t>安装而引起的故障，乙方可收取且只收取损坏产品的维修成本费。质保期内重复二次出现设备本身原因产生的故障，对更换或维修过的零件从更换维修之日起，质保期重新计算，如未按约定执行甲方有权扣除质保金，如甲方严重经济损失由乙方全部承担。</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8.4在质保期满后，乙方提供有偿维护服务，并承诺系统维护所需的备品备件单价不变，如需收取技术支持及服务费用，收费标准由甲乙双方另行协商。</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8.5 在质保期内，乙方未能履行合同“本合同第</w:t>
      </w:r>
      <w:r>
        <w:rPr>
          <w:rFonts w:hint="eastAsia" w:ascii="仿宋" w:hAnsi="仿宋" w:eastAsia="仿宋" w:cs="仿宋"/>
          <w:color w:val="auto"/>
          <w:sz w:val="22"/>
          <w:szCs w:val="22"/>
          <w:highlight w:val="none"/>
          <w:lang w:val="en-US" w:eastAsia="zh-CN"/>
        </w:rPr>
        <w:t>8</w:t>
      </w:r>
      <w:r>
        <w:rPr>
          <w:rFonts w:hint="eastAsia" w:ascii="仿宋" w:hAnsi="仿宋" w:eastAsia="仿宋" w:cs="仿宋"/>
          <w:color w:val="auto"/>
          <w:sz w:val="22"/>
          <w:szCs w:val="22"/>
          <w:highlight w:val="none"/>
        </w:rPr>
        <w:t>条质保责任”约定的义务，甲方有权自行委托第三方进行维护，产生费用由乙方承担。甲方有权直接从未付款项中直接扣除。</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9 调试服务</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9.1乙方负责</w:t>
      </w:r>
      <w:r>
        <w:rPr>
          <w:rFonts w:hint="eastAsia" w:ascii="仿宋" w:hAnsi="仿宋" w:eastAsia="仿宋" w:cs="仿宋"/>
          <w:color w:val="auto"/>
          <w:sz w:val="22"/>
          <w:szCs w:val="22"/>
          <w:highlight w:val="none"/>
          <w:lang w:eastAsia="zh-CN"/>
        </w:rPr>
        <w:t>安装和</w:t>
      </w:r>
      <w:r>
        <w:rPr>
          <w:rFonts w:hint="eastAsia" w:ascii="仿宋" w:hAnsi="仿宋" w:eastAsia="仿宋" w:cs="仿宋"/>
          <w:color w:val="auto"/>
          <w:sz w:val="22"/>
          <w:szCs w:val="22"/>
          <w:highlight w:val="none"/>
        </w:rPr>
        <w:t>调试工作，并提供满足《</w:t>
      </w:r>
      <w:r>
        <w:rPr>
          <w:rFonts w:hint="eastAsia" w:ascii="仿宋" w:hAnsi="仿宋" w:eastAsia="仿宋" w:cs="仿宋"/>
          <w:color w:val="auto"/>
          <w:sz w:val="22"/>
          <w:szCs w:val="22"/>
          <w:lang w:eastAsia="zh-CN"/>
        </w:rPr>
        <w:t>CEMS</w:t>
      </w:r>
      <w:r>
        <w:rPr>
          <w:rFonts w:hint="eastAsia" w:ascii="仿宋" w:hAnsi="仿宋" w:eastAsia="仿宋" w:cs="仿宋"/>
          <w:color w:val="auto"/>
          <w:sz w:val="22"/>
          <w:szCs w:val="22"/>
          <w:highlight w:val="none"/>
        </w:rPr>
        <w:t>技术</w:t>
      </w:r>
      <w:r>
        <w:rPr>
          <w:rFonts w:hint="eastAsia" w:ascii="仿宋" w:hAnsi="仿宋" w:eastAsia="仿宋" w:cs="仿宋"/>
          <w:color w:val="auto"/>
          <w:sz w:val="22"/>
          <w:szCs w:val="22"/>
          <w:highlight w:val="none"/>
          <w:lang w:eastAsia="zh-CN"/>
        </w:rPr>
        <w:t>规范</w:t>
      </w:r>
      <w:r>
        <w:rPr>
          <w:rFonts w:hint="eastAsia" w:ascii="仿宋" w:hAnsi="仿宋" w:eastAsia="仿宋" w:cs="仿宋"/>
          <w:color w:val="auto"/>
          <w:sz w:val="22"/>
          <w:szCs w:val="22"/>
          <w:highlight w:val="none"/>
        </w:rPr>
        <w:t>书》要求的其他相关技术服务。调试内容详见《</w:t>
      </w:r>
      <w:r>
        <w:rPr>
          <w:rFonts w:hint="eastAsia" w:ascii="仿宋" w:hAnsi="仿宋" w:eastAsia="仿宋" w:cs="仿宋"/>
          <w:color w:val="auto"/>
          <w:sz w:val="22"/>
          <w:szCs w:val="22"/>
          <w:lang w:eastAsia="zh-CN"/>
        </w:rPr>
        <w:t>CEMS</w:t>
      </w:r>
      <w:r>
        <w:rPr>
          <w:rFonts w:hint="eastAsia" w:ascii="仿宋" w:hAnsi="仿宋" w:eastAsia="仿宋" w:cs="仿宋"/>
          <w:color w:val="auto"/>
          <w:sz w:val="22"/>
          <w:szCs w:val="22"/>
          <w:highlight w:val="none"/>
        </w:rPr>
        <w:t>技术</w:t>
      </w:r>
      <w:r>
        <w:rPr>
          <w:rFonts w:hint="eastAsia" w:ascii="仿宋" w:hAnsi="仿宋" w:eastAsia="仿宋" w:cs="仿宋"/>
          <w:color w:val="auto"/>
          <w:sz w:val="22"/>
          <w:szCs w:val="22"/>
          <w:highlight w:val="none"/>
          <w:lang w:eastAsia="zh-CN"/>
        </w:rPr>
        <w:t>规范</w:t>
      </w:r>
      <w:r>
        <w:rPr>
          <w:rFonts w:hint="eastAsia" w:ascii="仿宋" w:hAnsi="仿宋" w:eastAsia="仿宋" w:cs="仿宋"/>
          <w:color w:val="auto"/>
          <w:sz w:val="22"/>
          <w:szCs w:val="22"/>
          <w:highlight w:val="none"/>
        </w:rPr>
        <w:t>书》。</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10 不可抗力</w:t>
      </w:r>
      <w:bookmarkStart w:id="0" w:name="_GoBack"/>
      <w:bookmarkEnd w:id="0"/>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任何一方由于自然灾害等不可抗力的原因而不能履行合同时，应及时向对方通报，取得有关权力机关的证明后，允许延期履行，部分履行或不履行合同，并根据情况免于承担违约责任。但双方应尽快安排下一步合同的执行。</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11 指定验收人、联络与送达</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11.1合同标的物到货验收人员：①</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eastAsia="zh-CN"/>
        </w:rPr>
        <w:t>林春堆</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（电话：</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18006981899</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，字样：</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）、②</w:t>
      </w:r>
      <w:r>
        <w:rPr>
          <w:rFonts w:hint="eastAsia" w:ascii="仿宋" w:hAnsi="仿宋" w:eastAsia="仿宋" w:cs="仿宋"/>
          <w:color w:val="auto"/>
          <w:sz w:val="22"/>
          <w:szCs w:val="22"/>
          <w:highlight w:val="none"/>
          <w:u w:val="single"/>
        </w:rPr>
        <w:t>陈智峰</w:t>
      </w:r>
      <w:r>
        <w:rPr>
          <w:rFonts w:hint="eastAsia" w:ascii="仿宋" w:hAnsi="仿宋" w:eastAsia="仿宋" w:cs="仿宋"/>
          <w:color w:val="auto"/>
          <w:sz w:val="22"/>
          <w:szCs w:val="22"/>
          <w:highlight w:val="none"/>
        </w:rPr>
        <w:t>（电话</w:t>
      </w:r>
      <w:r>
        <w:rPr>
          <w:rFonts w:hint="eastAsia" w:ascii="仿宋" w:hAnsi="仿宋" w:eastAsia="仿宋" w:cs="仿宋"/>
          <w:color w:val="auto"/>
          <w:sz w:val="22"/>
          <w:szCs w:val="22"/>
          <w:highlight w:val="none"/>
          <w:u w:val="single"/>
        </w:rPr>
        <w:t>：18650206633</w:t>
      </w:r>
      <w:r>
        <w:rPr>
          <w:rFonts w:hint="eastAsia" w:ascii="仿宋" w:hAnsi="仿宋" w:eastAsia="仿宋" w:cs="仿宋"/>
          <w:color w:val="auto"/>
          <w:sz w:val="22"/>
          <w:szCs w:val="22"/>
          <w:highlight w:val="none"/>
        </w:rPr>
        <w:t>，字样：</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）③</w:t>
      </w:r>
      <w:r>
        <w:rPr>
          <w:rFonts w:hint="eastAsia" w:ascii="仿宋" w:hAnsi="仿宋" w:eastAsia="仿宋" w:cs="仿宋"/>
          <w:color w:val="auto"/>
          <w:sz w:val="22"/>
          <w:szCs w:val="22"/>
          <w:highlight w:val="none"/>
          <w:u w:val="single"/>
        </w:rPr>
        <w:t>林衍铭</w:t>
      </w:r>
      <w:r>
        <w:rPr>
          <w:rFonts w:hint="eastAsia" w:ascii="仿宋" w:hAnsi="仿宋" w:eastAsia="仿宋" w:cs="仿宋"/>
          <w:color w:val="auto"/>
          <w:sz w:val="22"/>
          <w:szCs w:val="22"/>
          <w:highlight w:val="none"/>
        </w:rPr>
        <w:t>（电话：</w:t>
      </w:r>
      <w:r>
        <w:rPr>
          <w:rFonts w:hint="eastAsia" w:ascii="仿宋" w:hAnsi="仿宋" w:eastAsia="仿宋" w:cs="仿宋"/>
          <w:color w:val="auto"/>
          <w:sz w:val="22"/>
          <w:szCs w:val="22"/>
          <w:highlight w:val="none"/>
          <w:u w:val="single"/>
        </w:rPr>
        <w:t>18906066636</w:t>
      </w:r>
      <w:r>
        <w:rPr>
          <w:rFonts w:hint="eastAsia" w:ascii="仿宋" w:hAnsi="仿宋" w:eastAsia="仿宋" w:cs="仿宋"/>
          <w:color w:val="auto"/>
          <w:sz w:val="22"/>
          <w:szCs w:val="22"/>
          <w:highlight w:val="none"/>
        </w:rPr>
        <w:t>字样：</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上述验收人员签字仅代表收到货物。以上指定①②③人员，若缺少任何一人未签字验收，该到货验收单、供货进度款或结算书为无效。若非甲方指定人员签字或所指定的人员签字不足的结算依据视为无效结算依据，甲方有权不予认可（因乙方原因未能提供有效结算依据相应货款不计利息）。若甲方有指定验收人员变动，甲方将另行委托。上述到货验收人员无权变更本合同条款包括但不限于单价、交货、发票、验收结算、违约责任、争议解决等；无权代表甲方及项目部对外签订合同、借款、融资、担保等经济活动。</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11.1甲方指定联系地址为</w:t>
      </w:r>
      <w:r>
        <w:rPr>
          <w:rFonts w:hint="eastAsia" w:ascii="仿宋" w:hAnsi="仿宋" w:eastAsia="仿宋" w:cs="仿宋"/>
          <w:color w:val="auto"/>
          <w:sz w:val="22"/>
          <w:szCs w:val="22"/>
          <w:highlight w:val="none"/>
          <w:u w:val="single"/>
        </w:rPr>
        <w:t>福建省漳州市芗城区胜利西路101号</w:t>
      </w:r>
      <w:r>
        <w:rPr>
          <w:rFonts w:hint="eastAsia" w:ascii="仿宋" w:hAnsi="仿宋" w:eastAsia="仿宋" w:cs="仿宋"/>
          <w:color w:val="auto"/>
          <w:sz w:val="22"/>
          <w:szCs w:val="22"/>
          <w:highlight w:val="none"/>
        </w:rPr>
        <w:t>。联系人：</w:t>
      </w:r>
      <w:r>
        <w:rPr>
          <w:rFonts w:hint="eastAsia" w:ascii="仿宋" w:hAnsi="仿宋" w:eastAsia="仿宋" w:cs="仿宋"/>
          <w:color w:val="auto"/>
          <w:sz w:val="22"/>
          <w:szCs w:val="22"/>
          <w:highlight w:val="none"/>
          <w:u w:val="single"/>
        </w:rPr>
        <w:t>林衍铭</w:t>
      </w:r>
      <w:r>
        <w:rPr>
          <w:rFonts w:hint="eastAsia" w:ascii="仿宋" w:hAnsi="仿宋" w:eastAsia="仿宋" w:cs="仿宋"/>
          <w:color w:val="auto"/>
          <w:sz w:val="22"/>
          <w:szCs w:val="22"/>
          <w:highlight w:val="none"/>
        </w:rPr>
        <w:t xml:space="preserve"> 手机：</w:t>
      </w:r>
      <w:r>
        <w:rPr>
          <w:rFonts w:hint="eastAsia" w:ascii="仿宋" w:hAnsi="仿宋" w:eastAsia="仿宋" w:cs="仿宋"/>
          <w:color w:val="auto"/>
          <w:sz w:val="22"/>
          <w:szCs w:val="22"/>
          <w:highlight w:val="none"/>
          <w:u w:val="single"/>
        </w:rPr>
        <w:t xml:space="preserve">18906066636 </w:t>
      </w:r>
      <w:r>
        <w:rPr>
          <w:rFonts w:hint="eastAsia" w:ascii="仿宋" w:hAnsi="仿宋" w:eastAsia="仿宋" w:cs="仿宋"/>
          <w:color w:val="auto"/>
          <w:sz w:val="22"/>
          <w:szCs w:val="22"/>
          <w:highlight w:val="none"/>
        </w:rPr>
        <w:t>。</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11.2乙方指定联系地址为</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。联系人：</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手机：</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。用邮政特快专递邮寄到前述地址，或通过手机、QQ、微信、电子邮箱等方式送达，均视有效送达乙方。</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11.3任何一方的上述联系方式发生变更的，应在变更后三日内书面通知对方。本合同项下债务进入诉讼或仲裁阶段后，则须以书面方式告知审理机关。否则，按上述联系方式发出的通知或其他文书即使变更方没有收到，仍视为送达。</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11.4司法机关或仲裁机构亦可按上述约定的地址、联系方式向乙方发送相关（法律）文书，无人签收或乙方拒收的，则（法律）文书退回之日视为送达之日；若直接送达时乙方拒收的，送达人可以用拍照、录像方式记录送达过程，并将（法律）文书留置。</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12、违约责任</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1在本合同履行过程中，乙方出现任何不能按照合同规定或者进度计划要求供货的原因后，应当天以书面形式通知甲方，甲方收到通知后，有权视具体情况延长交货时间或者解除合同另行采购相关货物。若因乙方原因导致甲方另行采购的，乙方应承担相应的违约责任，并赔偿给甲方造成的损失，包括但不限于当前市场价与相应合同价格之间的差额，或者甲方在接受货物时发生的实际费用与相应合同价格之间的差额（以上两种差额以费用较高者执行）。除此之外，乙方还应承担因货物延误而可能造成的工期延误从而给甲方造成的相应一切后果，支付误期违约金。误期违约金比率为：每迟交1日，按合同总金额的</w:t>
      </w:r>
      <w:r>
        <w:rPr>
          <w:rFonts w:hint="eastAsia" w:ascii="仿宋" w:hAnsi="仿宋" w:eastAsia="仿宋" w:cs="仿宋"/>
          <w:bCs/>
          <w:color w:val="auto"/>
          <w:sz w:val="22"/>
          <w:szCs w:val="22"/>
          <w:highlight w:val="none"/>
          <w:lang w:val="en-US" w:eastAsia="zh-CN"/>
        </w:rPr>
        <w:t>1</w:t>
      </w:r>
      <w:r>
        <w:rPr>
          <w:rFonts w:hint="eastAsia" w:ascii="仿宋" w:hAnsi="仿宋" w:eastAsia="仿宋" w:cs="仿宋"/>
          <w:bCs/>
          <w:color w:val="auto"/>
          <w:sz w:val="22"/>
          <w:szCs w:val="22"/>
          <w:highlight w:val="none"/>
        </w:rPr>
        <w:t>%计算，误期违约金最高不超过合同总金额的20%。</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2乙方在规定时间内将甲方所需货物送到甲方指定地点，如未能按甲方要求数量供货，甲方将视乙方违约，乙方应承担由此给甲方造成的损失；如发现缺斤少两、以次充好，一经发现按相应价款（相应价款是指相应数量与本合同约定单价的乘积）的十倍由乙方向甲方支付违约金，且乙方放弃“主张违约金过高，请求人民法院适当给予降低”的权利。</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.3 合同一经签订，在甲方按合同约定期限向乙方支付货款的前提下，乙方必须保障及时保质保量供应，不得寻找任何理由或所提出的理由在甲方未予明确答复确认前延迟或停止为甲方供货，否则，乙方将承担由此造成的一切后果，同时甲方有权解除合同。合同解除后，甲方将按乙方已供货款20%对乙方予以罚款。</w:t>
      </w:r>
    </w:p>
    <w:p>
      <w:pPr>
        <w:pStyle w:val="35"/>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.4 乙方所供材料在现场验收时，其质量达不到相关要求，相关指标未达到国家规定标准时，甲方将视其为不合格产品，甲方有权拒绝接收，乙方须及时派员进行善后处理并立即将不合格产品清退出施工现场，如因此造成工期延误等，由此造成的经济损失由乙方承担。</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.5 乙方应保证其对货物具有所有权或者合法受委托的代理销售权。乙方亦保证交付的货物不存在有任何担保权或者为抵押物等权利瑕疵。同时乙方须保障甲方在工程所在地使用其货物、服务及其任何部分不受第三方关于侵权的指控（包括专利权、商标权等）。如第三方向甲方主张任何权利，乙方负责与第三方交涉并承担由此引起的一切法律责任和费用，并赔偿甲方由此造成的一切损失。</w:t>
      </w:r>
    </w:p>
    <w:p>
      <w:pPr>
        <w:keepNext w:val="0"/>
        <w:keepLines w:val="0"/>
        <w:pageBreakBefore w:val="0"/>
        <w:widowControl w:val="0"/>
        <w:kinsoku/>
        <w:wordWrap/>
        <w:overflowPunct/>
        <w:topLinePunct w:val="0"/>
        <w:autoSpaceDE/>
        <w:autoSpaceDN/>
        <w:bidi w:val="0"/>
        <w:adjustRightInd/>
        <w:snapToGrid/>
        <w:spacing w:line="400" w:lineRule="exact"/>
        <w:ind w:firstLine="440" w:firstLineChars="200"/>
        <w:jc w:val="left"/>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6对于因乙方运输方式不合理造成货物到达指定地点之后货物的损失或丢失，乙方应承担全部责任。运输过程中货物的灭失损毁、交通意外事故及因此产生的人身损害赔偿由乙方承担，延误的到货期不予延长，由此造成的逾期到货责任由乙方承担。</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.7乙方装卸、运输过程中的一切人员、机械、车辆安全，乙方应按国家及地方规定办理相关手续及各类保险、责任自负。</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.8乙方装卸、运输中应做相应的环保措施（符合国家环保要求），因环保造成的一切罚款由乙方自行承担。</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lang w:eastAsia="zh-CN"/>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.9乙方应处理好施工现场外的社会关系，防止社会上不相关人员干扰，确保供货到施工现场。否则，由此造成的逾期交货所有损失由乙方承担</w:t>
      </w:r>
      <w:r>
        <w:rPr>
          <w:rFonts w:hint="eastAsia" w:ascii="仿宋" w:hAnsi="仿宋" w:eastAsia="仿宋" w:cs="仿宋"/>
          <w:bCs/>
          <w:color w:val="auto"/>
          <w:sz w:val="22"/>
          <w:szCs w:val="22"/>
          <w:highlight w:val="none"/>
          <w:lang w:eastAsia="zh-CN"/>
        </w:rPr>
        <w:t>。</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.10 甲方逾期支付价款的，乙方可按照中国人民银行授权全国银行间同业拆借中心公布的一年期贷款市场报价利率（LPR）请求甲方支付逾期付款违约金，最高不超过</w:t>
      </w:r>
      <w:r>
        <w:rPr>
          <w:rFonts w:hint="eastAsia" w:ascii="仿宋" w:hAnsi="仿宋" w:eastAsia="仿宋" w:cs="仿宋"/>
          <w:bCs/>
          <w:color w:val="auto"/>
          <w:sz w:val="22"/>
          <w:szCs w:val="22"/>
          <w:highlight w:val="none"/>
          <w:lang w:eastAsia="zh-CN"/>
        </w:rPr>
        <w:t>未付款</w:t>
      </w:r>
      <w:r>
        <w:rPr>
          <w:rFonts w:hint="eastAsia" w:ascii="仿宋" w:hAnsi="仿宋" w:eastAsia="仿宋" w:cs="仿宋"/>
          <w:bCs/>
          <w:color w:val="auto"/>
          <w:sz w:val="22"/>
          <w:szCs w:val="22"/>
          <w:highlight w:val="none"/>
        </w:rPr>
        <w:t>金额的5%。</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13 争议解决方式</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1</w:t>
      </w:r>
      <w:r>
        <w:rPr>
          <w:rFonts w:hint="eastAsia" w:ascii="仿宋" w:hAnsi="仿宋" w:eastAsia="仿宋" w:cs="仿宋"/>
          <w:bCs/>
          <w:color w:val="auto"/>
          <w:sz w:val="22"/>
          <w:szCs w:val="22"/>
          <w:highlight w:val="none"/>
          <w:lang w:val="en-US" w:eastAsia="zh-CN"/>
        </w:rPr>
        <w:t>3</w:t>
      </w:r>
      <w:r>
        <w:rPr>
          <w:rFonts w:hint="eastAsia" w:ascii="仿宋" w:hAnsi="仿宋" w:eastAsia="仿宋" w:cs="仿宋"/>
          <w:bCs/>
          <w:color w:val="auto"/>
          <w:sz w:val="22"/>
          <w:szCs w:val="22"/>
          <w:highlight w:val="none"/>
        </w:rPr>
        <w:t>.1 发生纠纷，由甲乙双方领导协商解决，协商不成任何一方均可向甲方所在地人民法院提起诉讼。</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b/>
          <w:bCs/>
          <w:color w:val="auto"/>
          <w:sz w:val="22"/>
          <w:szCs w:val="22"/>
          <w:highlight w:val="none"/>
        </w:rPr>
      </w:pPr>
      <w:r>
        <w:rPr>
          <w:rFonts w:hint="eastAsia" w:ascii="仿宋" w:hAnsi="仿宋" w:eastAsia="仿宋" w:cs="仿宋"/>
          <w:bCs/>
          <w:color w:val="auto"/>
          <w:sz w:val="22"/>
          <w:szCs w:val="22"/>
          <w:highlight w:val="none"/>
        </w:rPr>
        <w:t>1</w:t>
      </w:r>
      <w:r>
        <w:rPr>
          <w:rFonts w:hint="eastAsia" w:ascii="仿宋" w:hAnsi="仿宋" w:eastAsia="仿宋" w:cs="仿宋"/>
          <w:bCs/>
          <w:color w:val="auto"/>
          <w:sz w:val="22"/>
          <w:szCs w:val="22"/>
          <w:highlight w:val="none"/>
          <w:lang w:val="en-US" w:eastAsia="zh-CN"/>
        </w:rPr>
        <w:t>3</w:t>
      </w:r>
      <w:r>
        <w:rPr>
          <w:rFonts w:hint="eastAsia" w:ascii="仿宋" w:hAnsi="仿宋" w:eastAsia="仿宋" w:cs="仿宋"/>
          <w:bCs/>
          <w:color w:val="auto"/>
          <w:sz w:val="22"/>
          <w:szCs w:val="22"/>
          <w:highlight w:val="none"/>
        </w:rPr>
        <w:t>.2 本合同关于争议的解决方式的约定具有最终效力，双方以后发生的补充合同、会议纪要、往来函件、发料单、物资结算单等涉及到争议解决方式的，均不得对抗此约定。</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14特别约定</w:t>
      </w:r>
    </w:p>
    <w:p>
      <w:pPr>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14</w:t>
      </w:r>
      <w:r>
        <w:rPr>
          <w:rFonts w:hint="eastAsia" w:ascii="仿宋" w:hAnsi="仿宋" w:eastAsia="仿宋" w:cs="仿宋"/>
          <w:bCs/>
          <w:color w:val="auto"/>
          <w:sz w:val="22"/>
          <w:szCs w:val="22"/>
          <w:highlight w:val="none"/>
        </w:rPr>
        <w:t>.1 本合同执行期为合同生效之日起至项目结束。乙方最迟应在项目结束前2个月与甲方核对往来账目，并向甲方出具履行完毕证明书。项目结束前未向甲方申请确认的单据，或项目结束后新出现的单据，甲方有权拒绝付款。</w:t>
      </w:r>
    </w:p>
    <w:p>
      <w:pPr>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14</w:t>
      </w:r>
      <w:r>
        <w:rPr>
          <w:rFonts w:hint="eastAsia" w:ascii="仿宋" w:hAnsi="仿宋" w:eastAsia="仿宋" w:cs="仿宋"/>
          <w:bCs/>
          <w:color w:val="auto"/>
          <w:sz w:val="22"/>
          <w:szCs w:val="22"/>
          <w:highlight w:val="none"/>
        </w:rPr>
        <w:t>.2 双方均应诚信履约。若甲方无故延迟付款超过90日，乙方应暂停向甲方指定项目部供货，并书面发催款函。（收信地址为</w:t>
      </w:r>
      <w:r>
        <w:rPr>
          <w:rFonts w:hint="eastAsia" w:ascii="仿宋" w:hAnsi="仿宋" w:eastAsia="仿宋" w:cs="仿宋"/>
          <w:bCs/>
          <w:color w:val="auto"/>
          <w:sz w:val="22"/>
          <w:szCs w:val="22"/>
          <w:highlight w:val="none"/>
          <w:lang w:eastAsia="zh-CN"/>
        </w:rPr>
        <w:t>：</w:t>
      </w:r>
      <w:r>
        <w:rPr>
          <w:rFonts w:hint="eastAsia" w:ascii="仿宋" w:hAnsi="仿宋" w:eastAsia="仿宋" w:cs="仿宋"/>
          <w:bCs/>
          <w:color w:val="auto"/>
          <w:sz w:val="22"/>
          <w:szCs w:val="22"/>
          <w:highlight w:val="none"/>
          <w:u w:val="single"/>
          <w:lang w:val="en-US" w:eastAsia="zh-CN"/>
        </w:rPr>
        <w:t xml:space="preserve">福州市鼓楼区福新路297号福建省工业设备安装有限公司法务部，写明项目名称和欠款金额，附有关材料  </w:t>
      </w:r>
      <w:r>
        <w:rPr>
          <w:rFonts w:hint="eastAsia" w:ascii="仿宋" w:hAnsi="仿宋" w:eastAsia="仿宋" w:cs="仿宋"/>
          <w:bCs/>
          <w:color w:val="auto"/>
          <w:sz w:val="22"/>
          <w:szCs w:val="22"/>
          <w:highlight w:val="none"/>
          <w:lang w:val="en-US" w:eastAsia="zh-CN"/>
        </w:rPr>
        <w:t xml:space="preserve"> </w:t>
      </w:r>
      <w:r>
        <w:rPr>
          <w:rFonts w:hint="eastAsia" w:ascii="仿宋" w:hAnsi="仿宋" w:eastAsia="仿宋" w:cs="仿宋"/>
          <w:bCs/>
          <w:color w:val="auto"/>
          <w:sz w:val="22"/>
          <w:szCs w:val="22"/>
          <w:highlight w:val="none"/>
        </w:rPr>
        <w:t>）否则，视为乙方同意免除付款责任。</w:t>
      </w:r>
    </w:p>
    <w:p>
      <w:pPr>
        <w:pStyle w:val="8"/>
        <w:ind w:firstLine="440" w:firstLineChars="200"/>
        <w:jc w:val="left"/>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14</w:t>
      </w:r>
      <w:r>
        <w:rPr>
          <w:rFonts w:hint="eastAsia" w:ascii="仿宋" w:hAnsi="仿宋" w:eastAsia="仿宋" w:cs="仿宋"/>
          <w:bCs/>
          <w:color w:val="auto"/>
          <w:sz w:val="22"/>
          <w:szCs w:val="22"/>
          <w:highlight w:val="none"/>
        </w:rPr>
        <w:t>.3 福建省工业设备安装有限公司</w:t>
      </w:r>
      <w:r>
        <w:rPr>
          <w:rFonts w:hint="eastAsia" w:ascii="仿宋" w:hAnsi="仿宋" w:eastAsia="仿宋" w:cs="仿宋"/>
          <w:bCs/>
          <w:color w:val="auto"/>
          <w:sz w:val="22"/>
          <w:szCs w:val="22"/>
          <w:highlight w:val="none"/>
          <w:u w:val="single"/>
        </w:rPr>
        <w:t xml:space="preserve">  </w:t>
      </w:r>
      <w:r>
        <w:rPr>
          <w:rFonts w:hint="eastAsia" w:ascii="仿宋" w:hAnsi="仿宋" w:eastAsia="仿宋" w:cs="仿宋"/>
          <w:color w:val="auto"/>
          <w:sz w:val="22"/>
          <w:szCs w:val="22"/>
          <w:highlight w:val="none"/>
          <w:u w:val="single"/>
          <w:lang w:eastAsia="zh-CN"/>
        </w:rPr>
        <w:t xml:space="preserve">德化县生活垃圾焚烧发电项目工程机电安装工程及运营维护(CEMS)  </w:t>
      </w:r>
      <w:r>
        <w:rPr>
          <w:rFonts w:hint="eastAsia" w:ascii="仿宋" w:hAnsi="仿宋" w:eastAsia="仿宋" w:cs="仿宋"/>
          <w:bCs/>
          <w:color w:val="auto"/>
          <w:sz w:val="22"/>
          <w:szCs w:val="22"/>
          <w:highlight w:val="none"/>
        </w:rPr>
        <w:t>项目经理部向乙方作出包括但不限于工作指令、要求、支付费用等，视同为甲方履行本合同权利和义务。但仅有自然人签字未经甲方及授权分支机构盖章确认，对双方不产生法律效力。</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1</w:t>
      </w:r>
      <w:r>
        <w:rPr>
          <w:rFonts w:hint="eastAsia" w:ascii="仿宋" w:hAnsi="仿宋" w:eastAsia="仿宋" w:cs="仿宋"/>
          <w:bCs/>
          <w:color w:val="auto"/>
          <w:sz w:val="22"/>
          <w:szCs w:val="22"/>
          <w:highlight w:val="none"/>
          <w:lang w:val="en-US" w:eastAsia="zh-CN"/>
        </w:rPr>
        <w:t>4</w:t>
      </w:r>
      <w:r>
        <w:rPr>
          <w:rFonts w:hint="eastAsia" w:ascii="仿宋" w:hAnsi="仿宋" w:eastAsia="仿宋" w:cs="仿宋"/>
          <w:bCs/>
          <w:color w:val="auto"/>
          <w:sz w:val="22"/>
          <w:szCs w:val="22"/>
          <w:highlight w:val="none"/>
        </w:rPr>
        <w:t>.4未经甲方允许，乙方不得将债权债务转让给合同外第三方行使。否则，除转让无效外，乙方还应按合同总价30%向甲方支付违约金。</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15生效及其他</w:t>
      </w:r>
    </w:p>
    <w:p>
      <w:pPr>
        <w:adjustRightInd w:val="0"/>
        <w:snapToGrid w:val="0"/>
        <w:spacing w:line="288" w:lineRule="auto"/>
        <w:ind w:firstLine="444" w:firstLineChars="202"/>
        <w:rPr>
          <w:rFonts w:hint="eastAsia" w:ascii="仿宋" w:hAnsi="仿宋" w:eastAsia="仿宋" w:cs="仿宋"/>
          <w:bCs/>
          <w:sz w:val="22"/>
          <w:szCs w:val="22"/>
          <w:highlight w:val="none"/>
        </w:rPr>
      </w:pPr>
      <w:r>
        <w:rPr>
          <w:rFonts w:hint="eastAsia" w:ascii="仿宋" w:hAnsi="仿宋" w:eastAsia="仿宋" w:cs="仿宋"/>
          <w:color w:val="auto"/>
          <w:sz w:val="22"/>
          <w:szCs w:val="22"/>
          <w:highlight w:val="none"/>
        </w:rPr>
        <w:t>15.1本合同未尽事宜，双方可通过电话、传真、电子邮件等方式协商，协商一致后另行签订补充协议，补充协议与本合同具有同样的法律效力。本合同所包括的《技术协议书》，是本合同不可分割的一部分，具有同等的法律效力，且本合同的技术协议书所约定的技术要求低于甲方与总承包方、总承包方与业主签订的《德化县生活垃圾焚烧发电项目</w:t>
      </w:r>
      <w:r>
        <w:rPr>
          <w:rFonts w:hint="eastAsia" w:ascii="仿宋" w:hAnsi="仿宋" w:eastAsia="仿宋" w:cs="仿宋"/>
          <w:color w:val="auto"/>
          <w:sz w:val="22"/>
          <w:szCs w:val="22"/>
          <w:lang w:eastAsia="zh-CN"/>
        </w:rPr>
        <w:t>CEMS</w:t>
      </w:r>
      <w:r>
        <w:rPr>
          <w:rFonts w:hint="eastAsia" w:ascii="仿宋" w:hAnsi="仿宋" w:eastAsia="仿宋" w:cs="仿宋"/>
          <w:color w:val="auto"/>
          <w:sz w:val="22"/>
          <w:szCs w:val="22"/>
          <w:highlight w:val="none"/>
        </w:rPr>
        <w:t>技术规范书》所约定的技术要求的，以甲方与总承包方、总承包方与业主签订的技术规范书约定的为准。</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15.2本合同自双方签字（或盖签字章）并加盖单位公章之日起生效。</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15.3本合同一式</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eastAsia="zh-CN"/>
        </w:rPr>
        <w:t>陆</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 xml:space="preserve">份，甲方执 </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伍</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份，乙方执</w:t>
      </w:r>
      <w:r>
        <w:rPr>
          <w:rFonts w:hint="eastAsia" w:ascii="仿宋" w:hAnsi="仿宋" w:eastAsia="仿宋" w:cs="仿宋"/>
          <w:color w:val="auto"/>
          <w:sz w:val="22"/>
          <w:szCs w:val="22"/>
          <w:highlight w:val="none"/>
          <w:u w:val="single"/>
        </w:rPr>
        <w:t xml:space="preserve">壹 </w:t>
      </w:r>
      <w:r>
        <w:rPr>
          <w:rFonts w:hint="eastAsia" w:ascii="仿宋" w:hAnsi="仿宋" w:eastAsia="仿宋" w:cs="仿宋"/>
          <w:color w:val="auto"/>
          <w:sz w:val="22"/>
          <w:szCs w:val="22"/>
          <w:highlight w:val="none"/>
        </w:rPr>
        <w:t>份，具有同等法律效力。</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15.4双方确认，在签署本协议之前已仔细审阅过协议内容，并完全了解协议各条款的法律含义。</w:t>
      </w: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r>
        <w:rPr>
          <w:rFonts w:hint="eastAsia" w:ascii="仿宋" w:hAnsi="仿宋" w:eastAsia="仿宋" w:cs="仿宋"/>
          <w:sz w:val="22"/>
          <w:szCs w:val="22"/>
        </w:rPr>
        <w:t>合同签署页：</w:t>
      </w:r>
    </w:p>
    <w:tbl>
      <w:tblPr>
        <w:tblStyle w:val="17"/>
        <w:tblpPr w:leftFromText="180" w:rightFromText="180" w:vertAnchor="text" w:horzAnchor="margin" w:tblpX="-67" w:tblpY="221"/>
        <w:tblW w:w="99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3"/>
        <w:gridCol w:w="5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0" w:hRule="atLeast"/>
        </w:trPr>
        <w:tc>
          <w:tcPr>
            <w:tcW w:w="4553" w:type="dxa"/>
          </w:tcPr>
          <w:p>
            <w:pPr>
              <w:adjustRightInd w:val="0"/>
              <w:snapToGrid w:val="0"/>
              <w:ind w:left="-424" w:leftChars="-202" w:firstLine="446" w:firstLineChars="202"/>
              <w:jc w:val="center"/>
              <w:rPr>
                <w:rFonts w:hint="eastAsia" w:ascii="仿宋" w:hAnsi="仿宋" w:eastAsia="仿宋" w:cs="仿宋"/>
                <w:b/>
                <w:bCs/>
                <w:sz w:val="22"/>
                <w:szCs w:val="22"/>
              </w:rPr>
            </w:pPr>
            <w:r>
              <w:rPr>
                <w:rFonts w:hint="eastAsia" w:ascii="仿宋" w:hAnsi="仿宋" w:eastAsia="仿宋" w:cs="仿宋"/>
                <w:b/>
                <w:bCs/>
                <w:sz w:val="22"/>
                <w:szCs w:val="22"/>
              </w:rPr>
              <w:t>甲   方</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甲方（章）：福建省工业设备安装有限公司</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地址：福建省福州市福新路297号</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法定代表人：</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委托代理人：</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电    话：0591-87564310</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开户银行：建设银行股份有限公司福建省分行</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帐    号：3500 1002 4060 5000 6006</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纳税识别号：9135 0000 1581 6269 1H</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联 系 人：</w:t>
            </w:r>
            <w:r>
              <w:rPr>
                <w:rFonts w:hint="eastAsia" w:ascii="仿宋" w:hAnsi="仿宋" w:eastAsia="仿宋" w:cs="仿宋"/>
                <w:color w:val="auto"/>
                <w:sz w:val="22"/>
                <w:szCs w:val="22"/>
                <w:highlight w:val="none"/>
                <w:u w:val="none"/>
              </w:rPr>
              <w:t xml:space="preserve">林衍铭 18906066636 </w:t>
            </w:r>
            <w:r>
              <w:rPr>
                <w:rFonts w:hint="eastAsia" w:ascii="仿宋" w:hAnsi="仿宋" w:eastAsia="仿宋" w:cs="仿宋"/>
                <w:bCs/>
                <w:color w:val="auto"/>
                <w:sz w:val="22"/>
                <w:szCs w:val="22"/>
                <w:highlight w:val="none"/>
                <w:u w:val="none"/>
              </w:rPr>
              <w:t xml:space="preserve"> </w:t>
            </w:r>
          </w:p>
          <w:p>
            <w:pPr>
              <w:spacing w:line="276" w:lineRule="auto"/>
              <w:rPr>
                <w:rFonts w:hint="eastAsia" w:ascii="仿宋" w:hAnsi="仿宋" w:eastAsia="仿宋" w:cs="仿宋"/>
                <w:color w:val="auto"/>
                <w:sz w:val="22"/>
                <w:szCs w:val="22"/>
                <w:highlight w:val="none"/>
              </w:rPr>
            </w:pPr>
            <w:r>
              <w:rPr>
                <w:rFonts w:hint="eastAsia" w:ascii="仿宋" w:hAnsi="仿宋" w:eastAsia="仿宋" w:cs="仿宋"/>
                <w:bCs/>
                <w:color w:val="auto"/>
                <w:sz w:val="22"/>
                <w:szCs w:val="22"/>
                <w:highlight w:val="none"/>
              </w:rPr>
              <w:t>日    期：202</w:t>
            </w:r>
            <w:r>
              <w:rPr>
                <w:rFonts w:hint="eastAsia" w:ascii="仿宋" w:hAnsi="仿宋" w:eastAsia="仿宋" w:cs="仿宋"/>
                <w:bCs/>
                <w:color w:val="auto"/>
                <w:sz w:val="22"/>
                <w:szCs w:val="22"/>
                <w:highlight w:val="none"/>
                <w:lang w:val="en-US" w:eastAsia="zh-CN"/>
              </w:rPr>
              <w:t>4</w:t>
            </w:r>
            <w:r>
              <w:rPr>
                <w:rFonts w:hint="eastAsia" w:ascii="仿宋" w:hAnsi="仿宋" w:eastAsia="仿宋" w:cs="仿宋"/>
                <w:bCs/>
                <w:color w:val="auto"/>
                <w:sz w:val="22"/>
                <w:szCs w:val="22"/>
                <w:highlight w:val="none"/>
              </w:rPr>
              <w:t>年</w:t>
            </w:r>
            <w:r>
              <w:rPr>
                <w:rFonts w:hint="eastAsia" w:ascii="仿宋" w:hAnsi="仿宋" w:eastAsia="仿宋" w:cs="仿宋"/>
                <w:bCs/>
                <w:color w:val="auto"/>
                <w:sz w:val="22"/>
                <w:szCs w:val="22"/>
                <w:highlight w:val="none"/>
                <w:lang w:val="en-US" w:eastAsia="zh-CN"/>
              </w:rPr>
              <w:t xml:space="preserve"> </w:t>
            </w:r>
            <w:r>
              <w:rPr>
                <w:rFonts w:hint="eastAsia" w:ascii="仿宋" w:hAnsi="仿宋" w:eastAsia="仿宋" w:cs="仿宋"/>
                <w:bCs/>
                <w:color w:val="auto"/>
                <w:sz w:val="22"/>
                <w:szCs w:val="22"/>
                <w:highlight w:val="none"/>
              </w:rPr>
              <w:t>月</w:t>
            </w:r>
            <w:r>
              <w:rPr>
                <w:rFonts w:hint="eastAsia" w:ascii="仿宋" w:hAnsi="仿宋" w:eastAsia="仿宋" w:cs="仿宋"/>
                <w:bCs/>
                <w:color w:val="auto"/>
                <w:sz w:val="22"/>
                <w:szCs w:val="22"/>
                <w:highlight w:val="none"/>
                <w:lang w:val="en-US" w:eastAsia="zh-CN"/>
              </w:rPr>
              <w:t xml:space="preserve"> </w:t>
            </w:r>
            <w:r>
              <w:rPr>
                <w:rFonts w:hint="eastAsia" w:ascii="仿宋" w:hAnsi="仿宋" w:eastAsia="仿宋" w:cs="仿宋"/>
                <w:bCs/>
                <w:color w:val="auto"/>
                <w:sz w:val="22"/>
                <w:szCs w:val="22"/>
                <w:highlight w:val="none"/>
              </w:rPr>
              <w:t>日</w:t>
            </w:r>
          </w:p>
        </w:tc>
        <w:tc>
          <w:tcPr>
            <w:tcW w:w="5403" w:type="dxa"/>
          </w:tcPr>
          <w:p>
            <w:pPr>
              <w:spacing w:line="276" w:lineRule="auto"/>
              <w:jc w:val="center"/>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乙         方</w:t>
            </w:r>
          </w:p>
          <w:p>
            <w:pPr>
              <w:spacing w:line="250"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乙方（章）：</w:t>
            </w:r>
          </w:p>
          <w:p>
            <w:pPr>
              <w:spacing w:line="250" w:lineRule="auto"/>
              <w:rPr>
                <w:rFonts w:hint="eastAsia" w:ascii="仿宋" w:hAnsi="仿宋" w:eastAsia="仿宋" w:cs="仿宋"/>
                <w:color w:val="auto"/>
                <w:sz w:val="22"/>
                <w:szCs w:val="22"/>
                <w:highlight w:val="none"/>
              </w:rPr>
            </w:pPr>
            <w:r>
              <w:rPr>
                <w:rFonts w:hint="eastAsia" w:ascii="仿宋" w:hAnsi="仿宋" w:eastAsia="仿宋" w:cs="仿宋"/>
                <w:bCs/>
                <w:color w:val="auto"/>
                <w:sz w:val="22"/>
                <w:szCs w:val="22"/>
                <w:highlight w:val="none"/>
              </w:rPr>
              <w:t>地     址：</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法定代表人：</w:t>
            </w:r>
          </w:p>
          <w:p>
            <w:pPr>
              <w:spacing w:line="276" w:lineRule="auto"/>
              <w:rPr>
                <w:rFonts w:hint="eastAsia" w:ascii="仿宋" w:hAnsi="仿宋" w:eastAsia="仿宋" w:cs="仿宋"/>
                <w:color w:val="auto"/>
                <w:sz w:val="22"/>
                <w:szCs w:val="22"/>
                <w:highlight w:val="none"/>
              </w:rPr>
            </w:pPr>
            <w:r>
              <w:rPr>
                <w:rFonts w:hint="eastAsia" w:ascii="仿宋" w:hAnsi="仿宋" w:eastAsia="仿宋" w:cs="仿宋"/>
                <w:bCs/>
                <w:color w:val="auto"/>
                <w:sz w:val="22"/>
                <w:szCs w:val="22"/>
                <w:highlight w:val="none"/>
              </w:rPr>
              <w:t>委托代理人</w:t>
            </w:r>
            <w:r>
              <w:rPr>
                <w:rFonts w:hint="eastAsia" w:ascii="仿宋" w:hAnsi="仿宋" w:eastAsia="仿宋" w:cs="仿宋"/>
                <w:color w:val="auto"/>
                <w:sz w:val="22"/>
                <w:szCs w:val="22"/>
                <w:highlight w:val="none"/>
              </w:rPr>
              <w:t>：</w:t>
            </w:r>
          </w:p>
          <w:p>
            <w:pPr>
              <w:spacing w:line="250" w:lineRule="auto"/>
              <w:rPr>
                <w:rFonts w:hint="eastAsia" w:ascii="仿宋" w:hAnsi="仿宋" w:eastAsia="仿宋" w:cs="仿宋"/>
                <w:color w:val="auto"/>
                <w:kern w:val="0"/>
                <w:sz w:val="22"/>
                <w:szCs w:val="22"/>
                <w:highlight w:val="none"/>
              </w:rPr>
            </w:pPr>
            <w:r>
              <w:rPr>
                <w:rFonts w:hint="eastAsia" w:ascii="仿宋" w:hAnsi="仿宋" w:eastAsia="仿宋" w:cs="仿宋"/>
                <w:bCs/>
                <w:color w:val="auto"/>
                <w:sz w:val="22"/>
                <w:szCs w:val="22"/>
                <w:highlight w:val="none"/>
              </w:rPr>
              <w:t>电     话：</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开户银行：</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帐    号：</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纳税识别号：</w:t>
            </w:r>
            <w:r>
              <w:rPr>
                <w:rFonts w:hint="eastAsia" w:ascii="仿宋" w:hAnsi="仿宋" w:eastAsia="仿宋" w:cs="仿宋"/>
                <w:color w:val="auto"/>
                <w:sz w:val="22"/>
                <w:szCs w:val="22"/>
                <w:highlight w:val="none"/>
              </w:rPr>
              <w:t xml:space="preserve"> </w:t>
            </w:r>
          </w:p>
          <w:p>
            <w:pPr>
              <w:spacing w:line="276" w:lineRule="auto"/>
              <w:rPr>
                <w:rFonts w:hint="eastAsia" w:ascii="仿宋" w:hAnsi="仿宋" w:eastAsia="仿宋" w:cs="仿宋"/>
                <w:color w:val="auto"/>
                <w:sz w:val="22"/>
                <w:szCs w:val="22"/>
                <w:highlight w:val="none"/>
              </w:rPr>
            </w:pPr>
            <w:r>
              <w:rPr>
                <w:rFonts w:hint="eastAsia" w:ascii="仿宋" w:hAnsi="仿宋" w:eastAsia="仿宋" w:cs="仿宋"/>
                <w:bCs/>
                <w:color w:val="auto"/>
                <w:sz w:val="22"/>
                <w:szCs w:val="22"/>
                <w:highlight w:val="none"/>
              </w:rPr>
              <w:t>联系人：</w:t>
            </w:r>
          </w:p>
        </w:tc>
      </w:tr>
    </w:tbl>
    <w:p>
      <w:pPr>
        <w:rPr>
          <w:rFonts w:hint="eastAsia" w:ascii="宋体" w:hAnsi="宋体" w:eastAsia="宋体" w:cs="宋体"/>
          <w:b/>
          <w:bCs/>
          <w:color w:val="auto"/>
          <w:sz w:val="24"/>
          <w:szCs w:val="24"/>
          <w:highlight w:val="none"/>
        </w:rPr>
      </w:pPr>
    </w:p>
    <w:sectPr>
      <w:headerReference r:id="rId7" w:type="first"/>
      <w:footerReference r:id="rId10" w:type="first"/>
      <w:headerReference r:id="rId5" w:type="default"/>
      <w:footerReference r:id="rId8" w:type="default"/>
      <w:headerReference r:id="rId6" w:type="even"/>
      <w:footerReference r:id="rId9" w:type="even"/>
      <w:pgSz w:w="11906" w:h="16838"/>
      <w:pgMar w:top="1134" w:right="998" w:bottom="1134" w:left="998"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center" w:pos="4140"/>
        <w:tab w:val="right" w:pos="8300"/>
        <w:tab w:val="clear" w:pos="4153"/>
        <w:tab w:val="clear" w:pos="8306"/>
      </w:tabs>
      <w:ind w:left="1321" w:firstLine="2700" w:firstLineChars="1500"/>
      <w:jc w:val="both"/>
    </w:pPr>
    <w:r>
      <w:rPr>
        <w:rFonts w:hint="eastAsia"/>
        <w:kern w:val="0"/>
        <w:szCs w:val="21"/>
        <w:lang w:val="zh-CN"/>
      </w:rPr>
      <w:t xml:space="preserve">第 </w:t>
    </w:r>
    <w:r>
      <w:rPr>
        <w:kern w:val="0"/>
        <w:szCs w:val="21"/>
        <w:lang w:val="zh-CN"/>
      </w:rPr>
      <w:fldChar w:fldCharType="begin"/>
    </w:r>
    <w:r>
      <w:rPr>
        <w:kern w:val="0"/>
        <w:szCs w:val="21"/>
        <w:lang w:val="zh-CN"/>
      </w:rPr>
      <w:instrText xml:space="preserve"> PAGE </w:instrText>
    </w:r>
    <w:r>
      <w:rPr>
        <w:kern w:val="0"/>
        <w:szCs w:val="21"/>
        <w:lang w:val="zh-CN"/>
      </w:rPr>
      <w:fldChar w:fldCharType="separate"/>
    </w:r>
    <w:r>
      <w:rPr>
        <w:kern w:val="0"/>
        <w:szCs w:val="21"/>
        <w:lang w:val="zh-CN"/>
      </w:rPr>
      <w:t>1</w:t>
    </w:r>
    <w:r>
      <w:rPr>
        <w:kern w:val="0"/>
        <w:szCs w:val="21"/>
        <w:lang w:val="zh-CN"/>
      </w:rPr>
      <w:fldChar w:fldCharType="end"/>
    </w:r>
    <w:r>
      <w:rPr>
        <w:rFonts w:hint="eastAsia"/>
        <w:kern w:val="0"/>
        <w:szCs w:val="21"/>
        <w:lang w:val="zh-CN"/>
      </w:rPr>
      <w:t xml:space="preserve"> 页 共 </w:t>
    </w:r>
    <w:r>
      <w:rPr>
        <w:kern w:val="0"/>
        <w:szCs w:val="21"/>
        <w:lang w:val="zh-CN"/>
      </w:rPr>
      <w:fldChar w:fldCharType="begin"/>
    </w:r>
    <w:r>
      <w:rPr>
        <w:kern w:val="0"/>
        <w:szCs w:val="21"/>
        <w:lang w:val="zh-CN"/>
      </w:rPr>
      <w:instrText xml:space="preserve"> NUMPAGES </w:instrText>
    </w:r>
    <w:r>
      <w:rPr>
        <w:kern w:val="0"/>
        <w:szCs w:val="21"/>
        <w:lang w:val="zh-CN"/>
      </w:rPr>
      <w:fldChar w:fldCharType="separate"/>
    </w:r>
    <w:r>
      <w:rPr>
        <w:kern w:val="0"/>
        <w:szCs w:val="21"/>
        <w:lang w:val="zh-CN"/>
      </w:rPr>
      <w:t>3</w:t>
    </w:r>
    <w:r>
      <w:rPr>
        <w:kern w:val="0"/>
        <w:szCs w:val="21"/>
        <w:lang w:val="zh-CN"/>
      </w:rPr>
      <w:fldChar w:fldCharType="end"/>
    </w:r>
    <w:r>
      <w:rPr>
        <w:rFonts w:hint="eastAsia"/>
        <w:kern w:val="0"/>
        <w:szCs w:val="21"/>
        <w:lang w:val="zh-CN"/>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tabs>
        <w:tab w:val="center" w:pos="4140"/>
        <w:tab w:val="right" w:pos="8300"/>
        <w:tab w:val="clear" w:pos="4153"/>
        <w:tab w:val="clear" w:pos="8306"/>
      </w:tabs>
      <w:ind w:left="1321"/>
      <w:rPr>
        <w:rStyle w:val="20"/>
      </w:rPr>
    </w:pPr>
    <w:r>
      <w:fldChar w:fldCharType="begin"/>
    </w:r>
    <w:r>
      <w:rPr>
        <w:rStyle w:val="20"/>
      </w:rPr>
      <w:instrText xml:space="preserve">PAGE  </w:instrText>
    </w:r>
    <w:r>
      <w:fldChar w:fldCharType="separate"/>
    </w:r>
    <w:r>
      <w:rPr>
        <w:rStyle w:val="20"/>
      </w:rPr>
      <w:t>6</w:t>
    </w:r>
    <w:r>
      <w:fldChar w:fldCharType="end"/>
    </w:r>
  </w:p>
  <w:p>
    <w:pPr>
      <w:pStyle w:val="10"/>
      <w:tabs>
        <w:tab w:val="center" w:pos="4140"/>
        <w:tab w:val="right" w:pos="8300"/>
        <w:tab w:val="clear" w:pos="4153"/>
        <w:tab w:val="clear" w:pos="8306"/>
      </w:tabs>
      <w:ind w:left="132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clear" w:pos="8306"/>
      </w:tabs>
      <w:ind w:left="0" w:leftChars="0" w:right="-89"/>
      <w:jc w:val="center"/>
      <w:rPr>
        <w:rFonts w:ascii="宋体" w:hAnsi="宋体"/>
      </w:rPr>
    </w:pPr>
    <w:r>
      <mc:AlternateContent>
        <mc:Choice Requires="wps">
          <w:drawing>
            <wp:anchor distT="0" distB="0" distL="114300" distR="114300" simplePos="0" relativeHeight="251659264" behindDoc="0" locked="0" layoutInCell="1" allowOverlap="1">
              <wp:simplePos x="0" y="0"/>
              <wp:positionH relativeFrom="margin">
                <wp:posOffset>2274570</wp:posOffset>
              </wp:positionH>
              <wp:positionV relativeFrom="paragraph">
                <wp:posOffset>1905</wp:posOffset>
              </wp:positionV>
              <wp:extent cx="1561465" cy="147955"/>
              <wp:effectExtent l="0" t="0" r="0" b="0"/>
              <wp:wrapNone/>
              <wp:docPr id="1" name="4098"/>
              <wp:cNvGraphicFramePr/>
              <a:graphic xmlns:a="http://schemas.openxmlformats.org/drawingml/2006/main">
                <a:graphicData uri="http://schemas.microsoft.com/office/word/2010/wordprocessingShape">
                  <wps:wsp>
                    <wps:cNvSpPr txBox="1"/>
                    <wps:spPr>
                      <a:xfrm>
                        <a:off x="0" y="0"/>
                        <a:ext cx="1561465" cy="147955"/>
                      </a:xfrm>
                      <a:prstGeom prst="rect">
                        <a:avLst/>
                      </a:prstGeom>
                      <a:noFill/>
                      <a:ln>
                        <a:noFill/>
                      </a:ln>
                    </wps:spPr>
                    <wps:txbx>
                      <w:txbxContent>
                        <w:p>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r>
                            <w:rPr>
                              <w:rFonts w:hint="eastAsia"/>
                              <w:sz w:val="18"/>
                            </w:rPr>
                            <w:t xml:space="preserve"> 页 共 </w:t>
                          </w:r>
                          <w:r>
                            <w:fldChar w:fldCharType="begin"/>
                          </w:r>
                          <w:r>
                            <w:instrText xml:space="preserve"> NUMPAGES  \* MERGEFORMAT </w:instrText>
                          </w:r>
                          <w:r>
                            <w:fldChar w:fldCharType="separate"/>
                          </w:r>
                          <w:r>
                            <w:rPr>
                              <w:sz w:val="18"/>
                            </w:rPr>
                            <w:t>7</w:t>
                          </w:r>
                          <w:r>
                            <w:rPr>
                              <w:sz w:val="18"/>
                            </w:rPr>
                            <w:fldChar w:fldCharType="end"/>
                          </w:r>
                          <w:r>
                            <w:rPr>
                              <w:rFonts w:hint="eastAsia"/>
                              <w:sz w:val="18"/>
                            </w:rPr>
                            <w:t>页</w:t>
                          </w:r>
                        </w:p>
                      </w:txbxContent>
                    </wps:txbx>
                    <wps:bodyPr lIns="0" tIns="0" rIns="0" bIns="0" upright="1">
                      <a:spAutoFit/>
                    </wps:bodyPr>
                  </wps:wsp>
                </a:graphicData>
              </a:graphic>
            </wp:anchor>
          </w:drawing>
        </mc:Choice>
        <mc:Fallback>
          <w:pict>
            <v:shape id="4098" o:spid="_x0000_s1026" o:spt="202" type="#_x0000_t202" style="position:absolute;left:0pt;margin-left:179.1pt;margin-top:0.15pt;height:11.65pt;width:122.95pt;mso-position-horizontal-relative:margin;z-index:251659264;mso-width-relative:page;mso-height-relative:page;" filled="f" stroked="f" coordsize="21600,21600" o:gfxdata="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IPE&#10;hlDUAAAABwEAAA8AAAAAAAAAAQAgAAAAIgAAAGRycy9kb3ducmV2LnhtbFBLAQIUABQAAAAIAIdO&#10;4kA8c0e7tQEAAIUDAAAOAAAAAAAAAAEAIAAAACMBAABkcnMvZTJvRG9jLnhtbFBLBQYAAAAABgAG&#10;AFkBAABKBQAAAAA=&#10;">
              <v:fill on="f" focussize="0,0"/>
              <v:stroke on="f"/>
              <v:imagedata o:title=""/>
              <o:lock v:ext="edit" aspectratio="f"/>
              <v:textbox inset="0mm,0mm,0mm,0mm" style="mso-fit-shape-to-text:t;">
                <w:txbxContent>
                  <w:p>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r>
                      <w:rPr>
                        <w:rFonts w:hint="eastAsia"/>
                        <w:sz w:val="18"/>
                      </w:rPr>
                      <w:t xml:space="preserve"> 页 共 </w:t>
                    </w:r>
                    <w:r>
                      <w:fldChar w:fldCharType="begin"/>
                    </w:r>
                    <w:r>
                      <w:instrText xml:space="preserve"> NUMPAGES  \* MERGEFORMAT </w:instrText>
                    </w:r>
                    <w:r>
                      <w:fldChar w:fldCharType="separate"/>
                    </w:r>
                    <w:r>
                      <w:rPr>
                        <w:sz w:val="18"/>
                      </w:rPr>
                      <w:t>7</w:t>
                    </w:r>
                    <w:r>
                      <w:rPr>
                        <w:sz w:val="18"/>
                      </w:rPr>
                      <w:fldChar w:fldCharType="end"/>
                    </w:r>
                    <w:r>
                      <w:rPr>
                        <w:rFonts w:hint="eastAsia"/>
                        <w:sz w:val="18"/>
                      </w:rPr>
                      <w:t>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left="1321"/>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left="132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left="0" w:leftChars="0"/>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left="132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left="132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U0ZGRjMmNiMmUwNzM4ODA1Zjc4NDU3ODdmNjZkNGUifQ=="/>
  </w:docVars>
  <w:rsids>
    <w:rsidRoot w:val="00276377"/>
    <w:rsid w:val="00003EE8"/>
    <w:rsid w:val="0006512C"/>
    <w:rsid w:val="00077283"/>
    <w:rsid w:val="000A1A98"/>
    <w:rsid w:val="000B128C"/>
    <w:rsid w:val="000D45F0"/>
    <w:rsid w:val="00107C2D"/>
    <w:rsid w:val="00142882"/>
    <w:rsid w:val="001447FF"/>
    <w:rsid w:val="00166CDC"/>
    <w:rsid w:val="0018258B"/>
    <w:rsid w:val="00197565"/>
    <w:rsid w:val="001C78DE"/>
    <w:rsid w:val="001D3140"/>
    <w:rsid w:val="001E4050"/>
    <w:rsid w:val="00200046"/>
    <w:rsid w:val="002138CE"/>
    <w:rsid w:val="00216D2C"/>
    <w:rsid w:val="0021756A"/>
    <w:rsid w:val="00217AED"/>
    <w:rsid w:val="00220C7E"/>
    <w:rsid w:val="00225068"/>
    <w:rsid w:val="00276377"/>
    <w:rsid w:val="00293C21"/>
    <w:rsid w:val="002D56A4"/>
    <w:rsid w:val="002D7292"/>
    <w:rsid w:val="0034338A"/>
    <w:rsid w:val="00354A3C"/>
    <w:rsid w:val="00367D79"/>
    <w:rsid w:val="003800F4"/>
    <w:rsid w:val="003913A0"/>
    <w:rsid w:val="003C2B96"/>
    <w:rsid w:val="003E0309"/>
    <w:rsid w:val="0045478C"/>
    <w:rsid w:val="00482B1F"/>
    <w:rsid w:val="004B4E82"/>
    <w:rsid w:val="004D4599"/>
    <w:rsid w:val="004F6785"/>
    <w:rsid w:val="00533C4D"/>
    <w:rsid w:val="005625D6"/>
    <w:rsid w:val="00562C20"/>
    <w:rsid w:val="005660E8"/>
    <w:rsid w:val="00582B62"/>
    <w:rsid w:val="005D0A9F"/>
    <w:rsid w:val="005D20A9"/>
    <w:rsid w:val="005F7501"/>
    <w:rsid w:val="006064AC"/>
    <w:rsid w:val="0061422D"/>
    <w:rsid w:val="0065537A"/>
    <w:rsid w:val="006635CC"/>
    <w:rsid w:val="00664B3E"/>
    <w:rsid w:val="006E0A9D"/>
    <w:rsid w:val="007272E4"/>
    <w:rsid w:val="00732D6D"/>
    <w:rsid w:val="00753C43"/>
    <w:rsid w:val="0078168A"/>
    <w:rsid w:val="0079488E"/>
    <w:rsid w:val="007965DA"/>
    <w:rsid w:val="007E329D"/>
    <w:rsid w:val="00805AF2"/>
    <w:rsid w:val="0083479E"/>
    <w:rsid w:val="00842540"/>
    <w:rsid w:val="00847F22"/>
    <w:rsid w:val="008572F5"/>
    <w:rsid w:val="0088072C"/>
    <w:rsid w:val="00893D3B"/>
    <w:rsid w:val="008C6593"/>
    <w:rsid w:val="008D37C0"/>
    <w:rsid w:val="008D5FC7"/>
    <w:rsid w:val="00902D32"/>
    <w:rsid w:val="0094273B"/>
    <w:rsid w:val="00953DC8"/>
    <w:rsid w:val="00971798"/>
    <w:rsid w:val="009B5BE9"/>
    <w:rsid w:val="009D210F"/>
    <w:rsid w:val="00A270AE"/>
    <w:rsid w:val="00A71426"/>
    <w:rsid w:val="00A94567"/>
    <w:rsid w:val="00AF129C"/>
    <w:rsid w:val="00B04BD3"/>
    <w:rsid w:val="00B71838"/>
    <w:rsid w:val="00B8037C"/>
    <w:rsid w:val="00B9497F"/>
    <w:rsid w:val="00BB22B4"/>
    <w:rsid w:val="00BE0D0D"/>
    <w:rsid w:val="00C03C48"/>
    <w:rsid w:val="00C70F3F"/>
    <w:rsid w:val="00C72DE7"/>
    <w:rsid w:val="00CA6330"/>
    <w:rsid w:val="00CD4052"/>
    <w:rsid w:val="00D67253"/>
    <w:rsid w:val="00D750A7"/>
    <w:rsid w:val="00D85EC9"/>
    <w:rsid w:val="00DA4962"/>
    <w:rsid w:val="00DC2917"/>
    <w:rsid w:val="00E15664"/>
    <w:rsid w:val="00E22128"/>
    <w:rsid w:val="00E74DB9"/>
    <w:rsid w:val="00E8053B"/>
    <w:rsid w:val="00E817BD"/>
    <w:rsid w:val="00E91DB9"/>
    <w:rsid w:val="00E92532"/>
    <w:rsid w:val="00E97572"/>
    <w:rsid w:val="00EB5972"/>
    <w:rsid w:val="00EC27C7"/>
    <w:rsid w:val="00F11407"/>
    <w:rsid w:val="00F36C19"/>
    <w:rsid w:val="00F37D64"/>
    <w:rsid w:val="00F60033"/>
    <w:rsid w:val="00F63B07"/>
    <w:rsid w:val="00F85F8A"/>
    <w:rsid w:val="00FB7BA8"/>
    <w:rsid w:val="011C7A57"/>
    <w:rsid w:val="01646813"/>
    <w:rsid w:val="01A815D6"/>
    <w:rsid w:val="02984FE4"/>
    <w:rsid w:val="03B413B5"/>
    <w:rsid w:val="042F43CA"/>
    <w:rsid w:val="05FD4007"/>
    <w:rsid w:val="06040DB4"/>
    <w:rsid w:val="062157E1"/>
    <w:rsid w:val="06816127"/>
    <w:rsid w:val="07210C6F"/>
    <w:rsid w:val="07354260"/>
    <w:rsid w:val="073B53CC"/>
    <w:rsid w:val="098719B6"/>
    <w:rsid w:val="09A11DFF"/>
    <w:rsid w:val="09A52C7D"/>
    <w:rsid w:val="0A631557"/>
    <w:rsid w:val="0E240CE0"/>
    <w:rsid w:val="0E2965E4"/>
    <w:rsid w:val="0EA2719F"/>
    <w:rsid w:val="103726B9"/>
    <w:rsid w:val="113E0203"/>
    <w:rsid w:val="147D5501"/>
    <w:rsid w:val="14AF0804"/>
    <w:rsid w:val="150A69CF"/>
    <w:rsid w:val="1600443A"/>
    <w:rsid w:val="1619122F"/>
    <w:rsid w:val="16C31C52"/>
    <w:rsid w:val="172A6A53"/>
    <w:rsid w:val="186C3A06"/>
    <w:rsid w:val="1A1B1825"/>
    <w:rsid w:val="1A31607E"/>
    <w:rsid w:val="1A6B3F12"/>
    <w:rsid w:val="1AC209D8"/>
    <w:rsid w:val="1AD04ABD"/>
    <w:rsid w:val="1B1428AC"/>
    <w:rsid w:val="1B9C18D3"/>
    <w:rsid w:val="1C1A17E3"/>
    <w:rsid w:val="1C2412A0"/>
    <w:rsid w:val="1CF13BA5"/>
    <w:rsid w:val="1D3A4289"/>
    <w:rsid w:val="1D6C6E02"/>
    <w:rsid w:val="1DC72164"/>
    <w:rsid w:val="1DCB30FA"/>
    <w:rsid w:val="1E05249D"/>
    <w:rsid w:val="1ED011A8"/>
    <w:rsid w:val="20872A44"/>
    <w:rsid w:val="21B24950"/>
    <w:rsid w:val="226A0D12"/>
    <w:rsid w:val="24205B69"/>
    <w:rsid w:val="254055CD"/>
    <w:rsid w:val="25FF40BF"/>
    <w:rsid w:val="260121AA"/>
    <w:rsid w:val="28490153"/>
    <w:rsid w:val="29C31BF9"/>
    <w:rsid w:val="2BBC4E7D"/>
    <w:rsid w:val="2D6F5802"/>
    <w:rsid w:val="2DED0882"/>
    <w:rsid w:val="308F0891"/>
    <w:rsid w:val="32937389"/>
    <w:rsid w:val="33D601A2"/>
    <w:rsid w:val="35007E14"/>
    <w:rsid w:val="35915F58"/>
    <w:rsid w:val="35B56411"/>
    <w:rsid w:val="37F0126C"/>
    <w:rsid w:val="38530FFA"/>
    <w:rsid w:val="39916D19"/>
    <w:rsid w:val="39A732AF"/>
    <w:rsid w:val="3AE15A01"/>
    <w:rsid w:val="3B7135F5"/>
    <w:rsid w:val="3B9F77B5"/>
    <w:rsid w:val="3DE8158B"/>
    <w:rsid w:val="3E947D65"/>
    <w:rsid w:val="3F47212A"/>
    <w:rsid w:val="401B3526"/>
    <w:rsid w:val="42134384"/>
    <w:rsid w:val="42D16AA7"/>
    <w:rsid w:val="43857DE4"/>
    <w:rsid w:val="43F233F4"/>
    <w:rsid w:val="44EE2CC9"/>
    <w:rsid w:val="454758F4"/>
    <w:rsid w:val="456A6B0F"/>
    <w:rsid w:val="45CF4855"/>
    <w:rsid w:val="48683F8B"/>
    <w:rsid w:val="49AE700C"/>
    <w:rsid w:val="49C275E8"/>
    <w:rsid w:val="4A4503CE"/>
    <w:rsid w:val="4B5819CE"/>
    <w:rsid w:val="4C7C39D6"/>
    <w:rsid w:val="4E6623B4"/>
    <w:rsid w:val="4E9961AD"/>
    <w:rsid w:val="50960488"/>
    <w:rsid w:val="50BA4B66"/>
    <w:rsid w:val="515E12DA"/>
    <w:rsid w:val="51AE0B2D"/>
    <w:rsid w:val="52CB65DD"/>
    <w:rsid w:val="534D35A7"/>
    <w:rsid w:val="54830740"/>
    <w:rsid w:val="554C3ECA"/>
    <w:rsid w:val="55F86EB3"/>
    <w:rsid w:val="5682006C"/>
    <w:rsid w:val="57FD4FD8"/>
    <w:rsid w:val="582D46AD"/>
    <w:rsid w:val="5AD36E8F"/>
    <w:rsid w:val="5AE453E0"/>
    <w:rsid w:val="5B371492"/>
    <w:rsid w:val="5B8B6871"/>
    <w:rsid w:val="5CAB3407"/>
    <w:rsid w:val="5CC93131"/>
    <w:rsid w:val="5D2B7D47"/>
    <w:rsid w:val="5E11286C"/>
    <w:rsid w:val="5EFA2699"/>
    <w:rsid w:val="5F281BE0"/>
    <w:rsid w:val="611208DE"/>
    <w:rsid w:val="61285761"/>
    <w:rsid w:val="62A06DB8"/>
    <w:rsid w:val="64322807"/>
    <w:rsid w:val="650E70C3"/>
    <w:rsid w:val="651E0AC9"/>
    <w:rsid w:val="66FA2174"/>
    <w:rsid w:val="692A2B7E"/>
    <w:rsid w:val="6A67367F"/>
    <w:rsid w:val="6C215487"/>
    <w:rsid w:val="6C746AB6"/>
    <w:rsid w:val="6CA656D4"/>
    <w:rsid w:val="6CCF10A9"/>
    <w:rsid w:val="6DDC468B"/>
    <w:rsid w:val="6E96244E"/>
    <w:rsid w:val="6ECD6EC2"/>
    <w:rsid w:val="6FA222F9"/>
    <w:rsid w:val="706C2B3F"/>
    <w:rsid w:val="71564CEF"/>
    <w:rsid w:val="71A13803"/>
    <w:rsid w:val="725B75FA"/>
    <w:rsid w:val="72675B82"/>
    <w:rsid w:val="72B909B8"/>
    <w:rsid w:val="72C27540"/>
    <w:rsid w:val="73E03295"/>
    <w:rsid w:val="74305BA0"/>
    <w:rsid w:val="75342028"/>
    <w:rsid w:val="757869A6"/>
    <w:rsid w:val="75BA6839"/>
    <w:rsid w:val="768E35ED"/>
    <w:rsid w:val="76B14411"/>
    <w:rsid w:val="781D2934"/>
    <w:rsid w:val="7A235C9B"/>
    <w:rsid w:val="7AA23E98"/>
    <w:rsid w:val="7B090B45"/>
    <w:rsid w:val="7B403C7D"/>
    <w:rsid w:val="7E3D3298"/>
    <w:rsid w:val="7E5B047B"/>
    <w:rsid w:val="7ED41B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name="Body Text First Indent"/>
    <w:lsdException w:qFormat="1" w:unhideWhenUsed="0" w:uiPriority="99" w:semiHidden="0" w:name="Body Text First Indent 2"/>
    <w:lsdException w:unhideWhenUsed="0" w:uiPriority="0" w:semiHidden="0" w:name="Note Heading"/>
    <w:lsdException w:qFormat="1"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宋体"/>
      <w:kern w:val="2"/>
      <w:sz w:val="21"/>
      <w:szCs w:val="24"/>
      <w:lang w:val="en-US" w:eastAsia="zh-CN" w:bidi="ar-SA"/>
    </w:rPr>
  </w:style>
  <w:style w:type="paragraph" w:styleId="2">
    <w:name w:val="heading 1"/>
    <w:basedOn w:val="1"/>
    <w:next w:val="1"/>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53"/>
    <w:autoRedefine/>
    <w:qFormat/>
    <w:uiPriority w:val="0"/>
    <w:pPr>
      <w:keepNext/>
      <w:keepLines/>
      <w:spacing w:before="260" w:after="260" w:line="416" w:lineRule="auto"/>
      <w:outlineLvl w:val="1"/>
    </w:pPr>
    <w:rPr>
      <w:rFonts w:ascii="Arial" w:hAnsi="Arial" w:eastAsia="黑体" w:cs="Times New Roman"/>
      <w:b/>
      <w:bCs/>
      <w:sz w:val="32"/>
      <w:szCs w:val="32"/>
    </w:rPr>
  </w:style>
  <w:style w:type="character" w:default="1" w:styleId="18">
    <w:name w:val="Default Paragraph Font"/>
    <w:autoRedefine/>
    <w:semiHidden/>
    <w:unhideWhenUsed/>
    <w:qFormat/>
    <w:uiPriority w:val="1"/>
  </w:style>
  <w:style w:type="table" w:default="1" w:styleId="17">
    <w:name w:val="Normal Table"/>
    <w:autoRedefine/>
    <w:semiHidden/>
    <w:unhideWhenUsed/>
    <w:qFormat/>
    <w:uiPriority w:val="99"/>
    <w:tblPr>
      <w:tblCellMar>
        <w:top w:w="0" w:type="dxa"/>
        <w:left w:w="108" w:type="dxa"/>
        <w:bottom w:w="0" w:type="dxa"/>
        <w:right w:w="108" w:type="dxa"/>
      </w:tblCellMar>
    </w:tblPr>
  </w:style>
  <w:style w:type="paragraph" w:styleId="4">
    <w:name w:val="annotation text"/>
    <w:basedOn w:val="1"/>
    <w:link w:val="50"/>
    <w:autoRedefine/>
    <w:qFormat/>
    <w:uiPriority w:val="0"/>
    <w:pPr>
      <w:jc w:val="left"/>
    </w:pPr>
  </w:style>
  <w:style w:type="paragraph" w:styleId="5">
    <w:name w:val="Body Text"/>
    <w:basedOn w:val="1"/>
    <w:next w:val="6"/>
    <w:autoRedefine/>
    <w:unhideWhenUsed/>
    <w:qFormat/>
    <w:uiPriority w:val="99"/>
    <w:pPr>
      <w:widowControl/>
      <w:tabs>
        <w:tab w:val="left" w:pos="1701"/>
      </w:tabs>
      <w:overflowPunct w:val="0"/>
      <w:autoSpaceDE w:val="0"/>
      <w:autoSpaceDN w:val="0"/>
      <w:adjustRightInd w:val="0"/>
      <w:spacing w:before="60"/>
      <w:ind w:left="340" w:firstLine="0" w:firstLineChars="0"/>
    </w:pPr>
    <w:rPr>
      <w:rFonts w:ascii="Arial" w:hAnsi="Arial"/>
      <w:kern w:val="0"/>
      <w:sz w:val="22"/>
      <w:szCs w:val="20"/>
    </w:rPr>
  </w:style>
  <w:style w:type="paragraph" w:styleId="6">
    <w:name w:val="Body Text 2"/>
    <w:basedOn w:val="1"/>
    <w:autoRedefine/>
    <w:unhideWhenUsed/>
    <w:qFormat/>
    <w:uiPriority w:val="0"/>
    <w:pPr>
      <w:spacing w:after="120" w:line="480" w:lineRule="auto"/>
    </w:pPr>
  </w:style>
  <w:style w:type="paragraph" w:styleId="7">
    <w:name w:val="Body Text Indent"/>
    <w:basedOn w:val="1"/>
    <w:link w:val="37"/>
    <w:autoRedefine/>
    <w:qFormat/>
    <w:uiPriority w:val="99"/>
    <w:pPr>
      <w:widowControl/>
      <w:tabs>
        <w:tab w:val="left" w:pos="0"/>
        <w:tab w:val="left" w:pos="993"/>
        <w:tab w:val="left" w:pos="1134"/>
      </w:tabs>
      <w:spacing w:line="500" w:lineRule="exact"/>
      <w:ind w:firstLine="567"/>
    </w:pPr>
    <w:rPr>
      <w:rFonts w:ascii="宋体"/>
      <w:sz w:val="28"/>
    </w:rPr>
  </w:style>
  <w:style w:type="paragraph" w:styleId="8">
    <w:name w:val="Plain Text"/>
    <w:basedOn w:val="1"/>
    <w:autoRedefine/>
    <w:qFormat/>
    <w:uiPriority w:val="0"/>
    <w:rPr>
      <w:rFonts w:ascii="宋体" w:hAnsi="Courier New" w:eastAsia="宋体" w:cs="Times New Roman"/>
      <w:szCs w:val="20"/>
    </w:rPr>
  </w:style>
  <w:style w:type="paragraph" w:styleId="9">
    <w:name w:val="Balloon Text"/>
    <w:basedOn w:val="1"/>
    <w:link w:val="29"/>
    <w:autoRedefine/>
    <w:qFormat/>
    <w:uiPriority w:val="0"/>
    <w:rPr>
      <w:sz w:val="18"/>
      <w:szCs w:val="18"/>
    </w:rPr>
  </w:style>
  <w:style w:type="paragraph" w:styleId="10">
    <w:name w:val="footer"/>
    <w:basedOn w:val="1"/>
    <w:autoRedefine/>
    <w:qFormat/>
    <w:uiPriority w:val="0"/>
    <w:pPr>
      <w:tabs>
        <w:tab w:val="center" w:pos="4153"/>
        <w:tab w:val="right" w:pos="8306"/>
      </w:tabs>
      <w:snapToGrid w:val="0"/>
      <w:spacing w:line="240" w:lineRule="atLeast"/>
      <w:ind w:left="629" w:leftChars="629"/>
      <w:jc w:val="left"/>
    </w:pPr>
    <w:rPr>
      <w:rFonts w:ascii="Calibri" w:hAnsi="Calibri" w:cs="Times New Roman"/>
      <w:sz w:val="18"/>
      <w:szCs w:val="18"/>
    </w:rPr>
  </w:style>
  <w:style w:type="paragraph" w:styleId="11">
    <w:name w:val="header"/>
    <w:basedOn w:val="1"/>
    <w:autoRedefine/>
    <w:qFormat/>
    <w:uiPriority w:val="0"/>
    <w:pPr>
      <w:pBdr>
        <w:bottom w:val="single" w:color="auto" w:sz="6" w:space="1"/>
      </w:pBdr>
      <w:tabs>
        <w:tab w:val="center" w:pos="4153"/>
        <w:tab w:val="right" w:pos="8306"/>
      </w:tabs>
      <w:snapToGrid w:val="0"/>
      <w:spacing w:line="240" w:lineRule="atLeast"/>
      <w:ind w:left="629" w:leftChars="629"/>
      <w:jc w:val="center"/>
    </w:pPr>
    <w:rPr>
      <w:rFonts w:ascii="Calibri" w:hAnsi="Calibri" w:cs="Times New Roman"/>
      <w:sz w:val="18"/>
      <w:szCs w:val="18"/>
    </w:rPr>
  </w:style>
  <w:style w:type="paragraph" w:styleId="12">
    <w:name w:val="Normal (Web)"/>
    <w:basedOn w:val="1"/>
    <w:autoRedefine/>
    <w:qFormat/>
    <w:uiPriority w:val="0"/>
    <w:pPr>
      <w:widowControl/>
      <w:spacing w:before="100" w:beforeAutospacing="1" w:after="100" w:afterAutospacing="1"/>
      <w:jc w:val="left"/>
    </w:pPr>
    <w:rPr>
      <w:rFonts w:ascii="宋体"/>
      <w:kern w:val="0"/>
      <w:sz w:val="24"/>
    </w:rPr>
  </w:style>
  <w:style w:type="paragraph" w:styleId="13">
    <w:name w:val="annotation subject"/>
    <w:basedOn w:val="4"/>
    <w:next w:val="4"/>
    <w:link w:val="51"/>
    <w:autoRedefine/>
    <w:qFormat/>
    <w:uiPriority w:val="0"/>
    <w:rPr>
      <w:b/>
      <w:bCs/>
    </w:rPr>
  </w:style>
  <w:style w:type="paragraph" w:styleId="14">
    <w:name w:val="Body Text First Indent"/>
    <w:basedOn w:val="5"/>
    <w:autoRedefine/>
    <w:semiHidden/>
    <w:unhideWhenUsed/>
    <w:qFormat/>
    <w:uiPriority w:val="0"/>
    <w:pPr>
      <w:ind w:firstLine="420" w:firstLineChars="100"/>
    </w:pPr>
  </w:style>
  <w:style w:type="paragraph" w:styleId="15">
    <w:name w:val="Body Text First Indent 2"/>
    <w:basedOn w:val="7"/>
    <w:next w:val="16"/>
    <w:link w:val="38"/>
    <w:autoRedefine/>
    <w:qFormat/>
    <w:uiPriority w:val="99"/>
    <w:pPr>
      <w:widowControl w:val="0"/>
      <w:adjustRightInd w:val="0"/>
      <w:spacing w:after="120" w:line="360" w:lineRule="atLeast"/>
      <w:ind w:left="420" w:leftChars="200" w:firstLine="420" w:firstLineChars="200"/>
      <w:textAlignment w:val="baseline"/>
    </w:pPr>
    <w:rPr>
      <w:rFonts w:ascii="Times New Roman"/>
      <w:sz w:val="20"/>
    </w:rPr>
  </w:style>
  <w:style w:type="paragraph" w:customStyle="1" w:styleId="16">
    <w:name w:val="*正文"/>
    <w:basedOn w:val="1"/>
    <w:autoRedefine/>
    <w:qFormat/>
    <w:uiPriority w:val="0"/>
    <w:pPr>
      <w:tabs>
        <w:tab w:val="left" w:pos="146"/>
      </w:tabs>
      <w:spacing w:line="360" w:lineRule="auto"/>
      <w:ind w:firstLine="482"/>
    </w:pPr>
    <w:rPr>
      <w:rFonts w:cs="仿宋_GB2312"/>
      <w:sz w:val="28"/>
      <w:szCs w:val="21"/>
    </w:rPr>
  </w:style>
  <w:style w:type="character" w:styleId="19">
    <w:name w:val="Strong"/>
    <w:basedOn w:val="18"/>
    <w:autoRedefine/>
    <w:qFormat/>
    <w:uiPriority w:val="0"/>
    <w:rPr>
      <w:b/>
    </w:rPr>
  </w:style>
  <w:style w:type="character" w:styleId="20">
    <w:name w:val="page number"/>
    <w:basedOn w:val="18"/>
    <w:autoRedefine/>
    <w:qFormat/>
    <w:uiPriority w:val="0"/>
    <w:rPr>
      <w:rFonts w:ascii="Times New Roman" w:hAnsi="Times New Roman" w:eastAsia="新宋体" w:cs="Times New Roman"/>
    </w:rPr>
  </w:style>
  <w:style w:type="character" w:styleId="21">
    <w:name w:val="FollowedHyperlink"/>
    <w:basedOn w:val="18"/>
    <w:autoRedefine/>
    <w:unhideWhenUsed/>
    <w:qFormat/>
    <w:uiPriority w:val="99"/>
    <w:rPr>
      <w:color w:val="954F72"/>
      <w:u w:val="single"/>
    </w:rPr>
  </w:style>
  <w:style w:type="character" w:styleId="22">
    <w:name w:val="Hyperlink"/>
    <w:basedOn w:val="18"/>
    <w:autoRedefine/>
    <w:unhideWhenUsed/>
    <w:qFormat/>
    <w:uiPriority w:val="99"/>
    <w:rPr>
      <w:color w:val="0563C1"/>
      <w:u w:val="single"/>
    </w:rPr>
  </w:style>
  <w:style w:type="character" w:styleId="23">
    <w:name w:val="annotation reference"/>
    <w:basedOn w:val="18"/>
    <w:autoRedefine/>
    <w:qFormat/>
    <w:uiPriority w:val="0"/>
    <w:rPr>
      <w:sz w:val="21"/>
      <w:szCs w:val="21"/>
    </w:rPr>
  </w:style>
  <w:style w:type="paragraph" w:customStyle="1" w:styleId="24">
    <w:name w:val="正式文"/>
    <w:basedOn w:val="1"/>
    <w:autoRedefine/>
    <w:qFormat/>
    <w:uiPriority w:val="0"/>
    <w:pPr>
      <w:autoSpaceDE w:val="0"/>
      <w:autoSpaceDN w:val="0"/>
      <w:adjustRightInd w:val="0"/>
      <w:spacing w:line="440" w:lineRule="exact"/>
      <w:jc w:val="left"/>
    </w:pPr>
    <w:rPr>
      <w:sz w:val="24"/>
      <w:szCs w:val="18"/>
    </w:rPr>
  </w:style>
  <w:style w:type="character" w:customStyle="1" w:styleId="25">
    <w:name w:val="font41"/>
    <w:basedOn w:val="18"/>
    <w:autoRedefine/>
    <w:qFormat/>
    <w:uiPriority w:val="0"/>
    <w:rPr>
      <w:rFonts w:hint="eastAsia" w:ascii="宋体" w:hAnsi="宋体" w:eastAsia="宋体" w:cs="宋体"/>
      <w:b/>
      <w:color w:val="000000"/>
      <w:sz w:val="28"/>
      <w:szCs w:val="28"/>
      <w:u w:val="single"/>
    </w:rPr>
  </w:style>
  <w:style w:type="character" w:customStyle="1" w:styleId="26">
    <w:name w:val="font11"/>
    <w:basedOn w:val="18"/>
    <w:autoRedefine/>
    <w:qFormat/>
    <w:uiPriority w:val="0"/>
    <w:rPr>
      <w:rFonts w:hint="eastAsia" w:ascii="宋体" w:hAnsi="宋体" w:eastAsia="宋体" w:cs="宋体"/>
      <w:b/>
      <w:color w:val="000000"/>
      <w:sz w:val="28"/>
      <w:szCs w:val="28"/>
      <w:u w:val="none"/>
    </w:rPr>
  </w:style>
  <w:style w:type="character" w:customStyle="1" w:styleId="27">
    <w:name w:val="font01"/>
    <w:basedOn w:val="18"/>
    <w:autoRedefine/>
    <w:qFormat/>
    <w:uiPriority w:val="0"/>
    <w:rPr>
      <w:rFonts w:hint="eastAsia" w:ascii="宋体" w:hAnsi="宋体" w:eastAsia="宋体" w:cs="宋体"/>
      <w:b/>
      <w:color w:val="000000"/>
      <w:sz w:val="22"/>
      <w:szCs w:val="22"/>
      <w:u w:val="single"/>
    </w:rPr>
  </w:style>
  <w:style w:type="character" w:customStyle="1" w:styleId="28">
    <w:name w:val="font71"/>
    <w:basedOn w:val="18"/>
    <w:autoRedefine/>
    <w:qFormat/>
    <w:uiPriority w:val="0"/>
    <w:rPr>
      <w:rFonts w:hint="eastAsia" w:ascii="宋体" w:hAnsi="宋体" w:eastAsia="宋体" w:cs="宋体"/>
      <w:b/>
      <w:color w:val="000000"/>
      <w:sz w:val="24"/>
      <w:szCs w:val="24"/>
      <w:u w:val="none"/>
    </w:rPr>
  </w:style>
  <w:style w:type="character" w:customStyle="1" w:styleId="29">
    <w:name w:val="批注框文本 字符"/>
    <w:basedOn w:val="18"/>
    <w:link w:val="9"/>
    <w:autoRedefine/>
    <w:qFormat/>
    <w:uiPriority w:val="0"/>
    <w:rPr>
      <w:rFonts w:eastAsia="宋体" w:cs="宋体"/>
      <w:kern w:val="2"/>
      <w:sz w:val="18"/>
      <w:szCs w:val="18"/>
    </w:rPr>
  </w:style>
  <w:style w:type="paragraph" w:customStyle="1" w:styleId="30">
    <w:name w:val="&quot;&quot;列出段落1&quot;&quot;"/>
    <w:basedOn w:val="1"/>
    <w:autoRedefine/>
    <w:qFormat/>
    <w:uiPriority w:val="0"/>
    <w:pPr>
      <w:ind w:firstLine="200" w:firstLineChars="200"/>
    </w:pPr>
    <w:rPr>
      <w:rFonts w:eastAsia="新宋体" w:cs="Times New Roman"/>
    </w:rPr>
  </w:style>
  <w:style w:type="paragraph" w:customStyle="1" w:styleId="31">
    <w:name w:val="&quot;&quot;列出段落1&quot;&quot;1"/>
    <w:basedOn w:val="1"/>
    <w:autoRedefine/>
    <w:qFormat/>
    <w:uiPriority w:val="0"/>
    <w:pPr>
      <w:ind w:firstLine="200" w:firstLineChars="200"/>
    </w:pPr>
    <w:rPr>
      <w:rFonts w:eastAsia="新宋体" w:cs="Times New Roman"/>
    </w:rPr>
  </w:style>
  <w:style w:type="paragraph" w:customStyle="1" w:styleId="32">
    <w:name w:val="&quot;&quot;列出段落1&quot;&quot;2"/>
    <w:basedOn w:val="1"/>
    <w:autoRedefine/>
    <w:qFormat/>
    <w:uiPriority w:val="0"/>
    <w:pPr>
      <w:ind w:firstLine="200" w:firstLineChars="200"/>
    </w:pPr>
    <w:rPr>
      <w:rFonts w:eastAsia="新宋体" w:cs="Times New Roman"/>
    </w:rPr>
  </w:style>
  <w:style w:type="paragraph" w:customStyle="1" w:styleId="33">
    <w:name w:val="&quot;&quot;列出段落1&quot;&quot;3"/>
    <w:basedOn w:val="1"/>
    <w:autoRedefine/>
    <w:qFormat/>
    <w:uiPriority w:val="0"/>
    <w:pPr>
      <w:ind w:firstLine="200" w:firstLineChars="200"/>
    </w:pPr>
    <w:rPr>
      <w:rFonts w:eastAsia="新宋体" w:cs="Times New Roman"/>
    </w:rPr>
  </w:style>
  <w:style w:type="paragraph" w:customStyle="1" w:styleId="34">
    <w:name w:val="&quot;列出段落1&quot;"/>
    <w:basedOn w:val="1"/>
    <w:autoRedefine/>
    <w:qFormat/>
    <w:uiPriority w:val="0"/>
    <w:pPr>
      <w:ind w:firstLine="200" w:firstLineChars="200"/>
    </w:pPr>
  </w:style>
  <w:style w:type="paragraph" w:customStyle="1" w:styleId="35">
    <w:name w:val="列出段落1"/>
    <w:basedOn w:val="1"/>
    <w:autoRedefine/>
    <w:qFormat/>
    <w:uiPriority w:val="0"/>
    <w:pPr>
      <w:ind w:firstLine="200" w:firstLineChars="200"/>
    </w:pPr>
    <w:rPr>
      <w:rFonts w:eastAsia="新宋体" w:cs="Times New Roman"/>
    </w:rPr>
  </w:style>
  <w:style w:type="paragraph" w:customStyle="1" w:styleId="36">
    <w:name w:val="Table Paragraph"/>
    <w:basedOn w:val="1"/>
    <w:autoRedefine/>
    <w:qFormat/>
    <w:uiPriority w:val="1"/>
    <w:pPr>
      <w:spacing w:before="65"/>
      <w:ind w:left="25"/>
    </w:pPr>
    <w:rPr>
      <w:rFonts w:ascii="宋体" w:hAnsi="宋体"/>
      <w:lang w:val="zh-CN" w:bidi="zh-CN"/>
    </w:rPr>
  </w:style>
  <w:style w:type="character" w:customStyle="1" w:styleId="37">
    <w:name w:val="正文文本缩进 字符"/>
    <w:basedOn w:val="18"/>
    <w:link w:val="7"/>
    <w:autoRedefine/>
    <w:qFormat/>
    <w:uiPriority w:val="99"/>
    <w:rPr>
      <w:rFonts w:ascii="宋体" w:cs="宋体"/>
      <w:kern w:val="2"/>
      <w:sz w:val="28"/>
      <w:szCs w:val="24"/>
    </w:rPr>
  </w:style>
  <w:style w:type="character" w:customStyle="1" w:styleId="38">
    <w:name w:val="正文文本首行缩进 2 字符"/>
    <w:basedOn w:val="37"/>
    <w:link w:val="15"/>
    <w:autoRedefine/>
    <w:qFormat/>
    <w:uiPriority w:val="99"/>
    <w:rPr>
      <w:rFonts w:ascii="宋体" w:cs="宋体"/>
      <w:kern w:val="2"/>
      <w:sz w:val="28"/>
      <w:szCs w:val="24"/>
    </w:rPr>
  </w:style>
  <w:style w:type="paragraph" w:customStyle="1" w:styleId="39">
    <w:name w:val="msonormal"/>
    <w:basedOn w:val="1"/>
    <w:autoRedefine/>
    <w:qFormat/>
    <w:uiPriority w:val="0"/>
    <w:pPr>
      <w:widowControl/>
      <w:spacing w:before="100" w:beforeAutospacing="1" w:after="100" w:afterAutospacing="1"/>
      <w:jc w:val="left"/>
    </w:pPr>
    <w:rPr>
      <w:rFonts w:ascii="宋体" w:hAnsi="宋体"/>
      <w:kern w:val="0"/>
      <w:sz w:val="24"/>
    </w:rPr>
  </w:style>
  <w:style w:type="paragraph" w:customStyle="1" w:styleId="40">
    <w:name w:val="font5"/>
    <w:basedOn w:val="1"/>
    <w:autoRedefine/>
    <w:qFormat/>
    <w:uiPriority w:val="0"/>
    <w:pPr>
      <w:widowControl/>
      <w:spacing w:before="100" w:beforeAutospacing="1" w:after="100" w:afterAutospacing="1"/>
      <w:jc w:val="left"/>
    </w:pPr>
    <w:rPr>
      <w:rFonts w:ascii="宋体" w:hAnsi="宋体"/>
      <w:kern w:val="0"/>
      <w:sz w:val="18"/>
      <w:szCs w:val="18"/>
    </w:rPr>
  </w:style>
  <w:style w:type="paragraph" w:customStyle="1" w:styleId="41">
    <w:name w:val="xl6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olor w:val="000000"/>
      <w:kern w:val="0"/>
      <w:sz w:val="18"/>
      <w:szCs w:val="18"/>
    </w:rPr>
  </w:style>
  <w:style w:type="paragraph" w:customStyle="1" w:styleId="42">
    <w:name w:val="xl6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olor w:val="000000"/>
      <w:kern w:val="0"/>
      <w:sz w:val="24"/>
    </w:rPr>
  </w:style>
  <w:style w:type="paragraph" w:customStyle="1" w:styleId="43">
    <w:name w:val="xl69"/>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color w:val="000000"/>
      <w:kern w:val="0"/>
      <w:sz w:val="24"/>
    </w:rPr>
  </w:style>
  <w:style w:type="paragraph" w:customStyle="1" w:styleId="44">
    <w:name w:val="xl70"/>
    <w:basedOn w:val="1"/>
    <w:autoRedefine/>
    <w:qFormat/>
    <w:uiPriority w:val="0"/>
    <w:pPr>
      <w:widowControl/>
      <w:pBdr>
        <w:top w:val="single" w:color="auto" w:sz="4" w:space="0"/>
        <w:bottom w:val="single" w:color="auto" w:sz="4" w:space="0"/>
      </w:pBdr>
      <w:spacing w:before="100" w:beforeAutospacing="1" w:after="100" w:afterAutospacing="1"/>
      <w:jc w:val="center"/>
      <w:textAlignment w:val="center"/>
    </w:pPr>
    <w:rPr>
      <w:rFonts w:ascii="宋体" w:hAnsi="宋体"/>
      <w:color w:val="000000"/>
      <w:kern w:val="0"/>
      <w:sz w:val="24"/>
    </w:rPr>
  </w:style>
  <w:style w:type="paragraph" w:customStyle="1" w:styleId="45">
    <w:name w:val="xl71"/>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olor w:val="000000"/>
      <w:kern w:val="0"/>
      <w:sz w:val="24"/>
    </w:rPr>
  </w:style>
  <w:style w:type="paragraph" w:customStyle="1" w:styleId="46">
    <w:name w:val="xl7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4"/>
    </w:rPr>
  </w:style>
  <w:style w:type="paragraph" w:customStyle="1" w:styleId="47">
    <w:name w:val="xl7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b/>
      <w:bCs/>
      <w:color w:val="000000"/>
      <w:kern w:val="0"/>
      <w:sz w:val="18"/>
      <w:szCs w:val="18"/>
    </w:rPr>
  </w:style>
  <w:style w:type="paragraph" w:customStyle="1" w:styleId="48">
    <w:name w:val="xl74"/>
    <w:basedOn w:val="1"/>
    <w:autoRedefine/>
    <w:qFormat/>
    <w:uiPriority w:val="0"/>
    <w:pPr>
      <w:widowControl/>
      <w:spacing w:before="100" w:beforeAutospacing="1" w:after="100" w:afterAutospacing="1"/>
      <w:jc w:val="center"/>
    </w:pPr>
    <w:rPr>
      <w:rFonts w:ascii="宋体" w:hAnsi="宋体"/>
      <w:kern w:val="0"/>
      <w:sz w:val="24"/>
    </w:rPr>
  </w:style>
  <w:style w:type="paragraph" w:customStyle="1" w:styleId="49">
    <w:name w:val="xl75"/>
    <w:basedOn w:val="1"/>
    <w:autoRedefine/>
    <w:qFormat/>
    <w:uiPriority w:val="0"/>
    <w:pPr>
      <w:widowControl/>
      <w:spacing w:before="100" w:beforeAutospacing="1" w:after="100" w:afterAutospacing="1"/>
      <w:jc w:val="center"/>
    </w:pPr>
    <w:rPr>
      <w:rFonts w:ascii="宋体" w:hAnsi="宋体"/>
      <w:kern w:val="0"/>
      <w:sz w:val="24"/>
    </w:rPr>
  </w:style>
  <w:style w:type="character" w:customStyle="1" w:styleId="50">
    <w:name w:val="批注文字 字符"/>
    <w:basedOn w:val="18"/>
    <w:link w:val="4"/>
    <w:autoRedefine/>
    <w:qFormat/>
    <w:uiPriority w:val="0"/>
    <w:rPr>
      <w:rFonts w:cs="宋体"/>
      <w:kern w:val="2"/>
      <w:sz w:val="21"/>
      <w:szCs w:val="24"/>
    </w:rPr>
  </w:style>
  <w:style w:type="character" w:customStyle="1" w:styleId="51">
    <w:name w:val="批注主题 字符"/>
    <w:basedOn w:val="50"/>
    <w:link w:val="13"/>
    <w:autoRedefine/>
    <w:qFormat/>
    <w:uiPriority w:val="0"/>
    <w:rPr>
      <w:rFonts w:cs="宋体"/>
      <w:b/>
      <w:bCs/>
      <w:kern w:val="2"/>
      <w:sz w:val="21"/>
      <w:szCs w:val="24"/>
    </w:rPr>
  </w:style>
  <w:style w:type="paragraph" w:customStyle="1" w:styleId="52">
    <w:name w:val="修订1"/>
    <w:autoRedefine/>
    <w:hidden/>
    <w:semiHidden/>
    <w:qFormat/>
    <w:uiPriority w:val="99"/>
    <w:rPr>
      <w:rFonts w:ascii="Times New Roman" w:hAnsi="Times New Roman" w:eastAsia="宋体" w:cs="宋体"/>
      <w:kern w:val="2"/>
      <w:sz w:val="21"/>
      <w:szCs w:val="24"/>
      <w:lang w:val="en-US" w:eastAsia="zh-CN" w:bidi="ar-SA"/>
    </w:rPr>
  </w:style>
  <w:style w:type="character" w:customStyle="1" w:styleId="53">
    <w:name w:val="标题 2 字符"/>
    <w:basedOn w:val="18"/>
    <w:link w:val="3"/>
    <w:autoRedefine/>
    <w:qFormat/>
    <w:uiPriority w:val="0"/>
    <w:rPr>
      <w:rFonts w:ascii="Arial" w:hAnsi="Arial" w:eastAsia="黑体"/>
      <w:b/>
      <w:bCs/>
      <w:kern w:val="2"/>
      <w:sz w:val="32"/>
      <w:szCs w:val="32"/>
    </w:rPr>
  </w:style>
  <w:style w:type="paragraph" w:customStyle="1" w:styleId="54">
    <w:name w:val="cucd-0"/>
    <w:autoRedefine/>
    <w:qFormat/>
    <w:uiPriority w:val="0"/>
    <w:pPr>
      <w:spacing w:line="360" w:lineRule="auto"/>
      <w:ind w:firstLine="480" w:firstLineChars="200"/>
    </w:pPr>
    <w:rPr>
      <w:rFonts w:ascii="Calibri" w:hAnsi="Calibri" w:eastAsia="宋体" w:cs="Times New Roman"/>
      <w:kern w:val="2"/>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8758EF2-0475-4C5F-B75B-01AB5D67F6F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5076</Words>
  <Characters>5384</Characters>
  <Lines>70</Lines>
  <Paragraphs>19</Paragraphs>
  <TotalTime>8</TotalTime>
  <ScaleCrop>false</ScaleCrop>
  <LinksUpToDate>false</LinksUpToDate>
  <CharactersWithSpaces>5685</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2023-03-09T04:30:00Z</dcterms:created>
  <dc:creator>apq</dc:creator>
  <cp:lastModifiedBy>江宁宁！！！！</cp:lastModifiedBy>
  <cp:lastPrinted>2017-05-26T06:04:00Z</cp:lastPrinted>
  <dcterms:modified xsi:type="dcterms:W3CDTF">2024-01-18T06:36:43Z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EFB0006DD36A4FA0A98EECC478752765_13</vt:lpwstr>
  </property>
</Properties>
</file>