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b/>
          <w:bCs/>
          <w:kern w:val="0"/>
          <w:sz w:val="32"/>
          <w:szCs w:val="32"/>
          <w:lang w:val="en-US" w:eastAsia="zh-CN"/>
        </w:rPr>
      </w:pPr>
      <w:r>
        <w:rPr>
          <w:rFonts w:hint="eastAsia" w:ascii="仿宋" w:hAnsi="仿宋" w:eastAsia="仿宋"/>
          <w:b/>
          <w:kern w:val="0"/>
          <w:sz w:val="32"/>
          <w:szCs w:val="32"/>
        </w:rPr>
        <w:t>合同编号：</w:t>
      </w:r>
      <w:r>
        <w:rPr>
          <w:rFonts w:ascii="仿宋" w:hAnsi="仿宋" w:eastAsia="仿宋"/>
          <w:b/>
          <w:kern w:val="0"/>
          <w:sz w:val="32"/>
          <w:szCs w:val="32"/>
        </w:rPr>
        <w:t>202</w:t>
      </w:r>
      <w:r>
        <w:rPr>
          <w:rFonts w:hint="eastAsia" w:ascii="仿宋" w:hAnsi="仿宋" w:eastAsia="仿宋"/>
          <w:b/>
          <w:kern w:val="0"/>
          <w:sz w:val="32"/>
          <w:szCs w:val="32"/>
          <w:lang w:val="en-US" w:eastAsia="zh-CN"/>
        </w:rPr>
        <w:t>4</w:t>
      </w:r>
      <w:r>
        <w:rPr>
          <w:rFonts w:ascii="仿宋" w:hAnsi="仿宋" w:eastAsia="仿宋"/>
          <w:b/>
          <w:kern w:val="0"/>
          <w:sz w:val="32"/>
          <w:szCs w:val="32"/>
        </w:rPr>
        <w:t>-DHFD-0</w:t>
      </w:r>
      <w:r>
        <w:rPr>
          <w:rFonts w:hint="eastAsia" w:ascii="仿宋" w:hAnsi="仿宋" w:eastAsia="仿宋"/>
          <w:b/>
          <w:kern w:val="0"/>
          <w:sz w:val="32"/>
          <w:szCs w:val="32"/>
          <w:lang w:val="en-US" w:eastAsia="zh-CN"/>
        </w:rPr>
        <w:t>32</w:t>
      </w:r>
    </w:p>
    <w:p>
      <w:pPr>
        <w:jc w:val="center"/>
        <w:rPr>
          <w:rFonts w:ascii="宋体"/>
          <w:b/>
          <w:bCs/>
          <w:color w:val="auto"/>
          <w:kern w:val="0"/>
          <w:sz w:val="52"/>
          <w:szCs w:val="52"/>
          <w:lang w:val="zh-CN"/>
        </w:rPr>
      </w:pPr>
    </w:p>
    <w:p>
      <w:pPr>
        <w:spacing w:line="1440" w:lineRule="exact"/>
        <w:jc w:val="center"/>
        <w:rPr>
          <w:rFonts w:hint="eastAsia" w:ascii="仿宋" w:hAnsi="仿宋" w:eastAsia="仿宋" w:cs="仿宋"/>
          <w:b/>
          <w:color w:val="auto"/>
          <w:sz w:val="64"/>
          <w:szCs w:val="64"/>
          <w:u w:val="single"/>
          <w:lang w:val="en-US" w:eastAsia="zh-CN"/>
        </w:rPr>
      </w:pPr>
      <w:r>
        <w:rPr>
          <w:rFonts w:hint="eastAsia" w:ascii="仿宋" w:hAnsi="仿宋" w:eastAsia="仿宋" w:cs="仿宋"/>
          <w:b/>
          <w:color w:val="auto"/>
          <w:sz w:val="64"/>
          <w:szCs w:val="64"/>
          <w:u w:val="single"/>
          <w:lang w:val="en-US" w:eastAsia="zh-CN"/>
        </w:rPr>
        <w:t>干式变压器</w:t>
      </w:r>
    </w:p>
    <w:p>
      <w:pPr>
        <w:spacing w:line="1440" w:lineRule="exact"/>
        <w:ind w:firstLine="3213" w:firstLineChars="500"/>
        <w:jc w:val="both"/>
        <w:rPr>
          <w:rFonts w:hint="eastAsia" w:ascii="仿宋" w:hAnsi="仿宋" w:eastAsia="仿宋" w:cs="仿宋"/>
          <w:b/>
          <w:color w:val="auto"/>
          <w:sz w:val="64"/>
          <w:szCs w:val="64"/>
        </w:rPr>
      </w:pPr>
      <w:r>
        <w:rPr>
          <w:rFonts w:hint="eastAsia" w:ascii="仿宋" w:hAnsi="仿宋" w:eastAsia="仿宋" w:cs="仿宋"/>
          <w:b/>
          <w:color w:val="auto"/>
          <w:sz w:val="64"/>
          <w:szCs w:val="64"/>
        </w:rPr>
        <w:t>采购合同</w:t>
      </w:r>
    </w:p>
    <w:p>
      <w:pPr>
        <w:rPr>
          <w:rFonts w:hint="eastAsia" w:ascii="仿宋" w:hAnsi="仿宋" w:eastAsia="仿宋" w:cs="仿宋"/>
          <w:color w:val="auto"/>
          <w:sz w:val="44"/>
          <w:szCs w:val="44"/>
        </w:rPr>
      </w:pPr>
      <w:r>
        <w:rPr>
          <w:rFonts w:hint="eastAsia" w:ascii="仿宋" w:hAnsi="仿宋" w:eastAsia="仿宋" w:cs="仿宋"/>
          <w:color w:val="auto"/>
          <w:sz w:val="52"/>
          <w:szCs w:val="52"/>
        </w:rPr>
        <w:t xml:space="preserve">            </w:t>
      </w:r>
      <w:r>
        <w:rPr>
          <w:rFonts w:hint="eastAsia" w:ascii="仿宋" w:hAnsi="仿宋" w:eastAsia="仿宋" w:cs="仿宋"/>
          <w:b/>
          <w:color w:val="auto"/>
          <w:kern w:val="0"/>
          <w:sz w:val="22"/>
        </w:rPr>
        <w:t xml:space="preserve"> </w:t>
      </w:r>
    </w:p>
    <w:p>
      <w:pPr>
        <w:rPr>
          <w:rFonts w:hint="eastAsia" w:ascii="仿宋" w:hAnsi="仿宋" w:eastAsia="仿宋" w:cs="仿宋"/>
          <w:color w:val="auto"/>
          <w:sz w:val="52"/>
          <w:szCs w:val="52"/>
        </w:rPr>
      </w:pPr>
    </w:p>
    <w:p>
      <w:pPr>
        <w:rPr>
          <w:rFonts w:hint="eastAsia" w:ascii="仿宋" w:hAnsi="仿宋" w:eastAsia="仿宋" w:cs="仿宋"/>
          <w:color w:val="auto"/>
          <w:sz w:val="52"/>
          <w:szCs w:val="52"/>
        </w:rPr>
      </w:pP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甲    方：</w:t>
      </w:r>
      <w:r>
        <w:rPr>
          <w:rFonts w:hint="eastAsia" w:ascii="仿宋" w:hAnsi="仿宋" w:eastAsia="仿宋" w:cs="仿宋"/>
          <w:color w:val="auto"/>
          <w:sz w:val="28"/>
          <w:szCs w:val="28"/>
          <w:u w:val="single"/>
        </w:rPr>
        <w:t xml:space="preserve"> 福建省工业设备安装有限公司</w:t>
      </w:r>
    </w:p>
    <w:p>
      <w:pPr>
        <w:ind w:left="1676" w:leftChars="798" w:firstLine="0" w:firstLineChars="0"/>
        <w:jc w:val="left"/>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乙    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FFFFFF" w:themeColor="background1"/>
          <w:sz w:val="28"/>
          <w:szCs w:val="28"/>
          <w:u w:val="single"/>
          <w:lang w:val="en-US" w:eastAsia="zh-CN"/>
          <w14:textFill>
            <w14:solidFill>
              <w14:schemeClr w14:val="bg1"/>
            </w14:solidFill>
          </w14:textFill>
        </w:rPr>
        <w:t>团</w:t>
      </w:r>
      <w:r>
        <w:rPr>
          <w:rFonts w:hint="eastAsia" w:ascii="仿宋" w:hAnsi="仿宋" w:eastAsia="仿宋" w:cs="仿宋"/>
          <w:color w:val="auto"/>
          <w:sz w:val="28"/>
          <w:szCs w:val="28"/>
          <w:u w:val="thick"/>
          <w:lang w:val="en-US" w:eastAsia="zh-CN"/>
        </w:rPr>
        <w:t xml:space="preserve">              </w:t>
      </w:r>
      <w:r>
        <w:rPr>
          <w:rFonts w:hint="eastAsia" w:ascii="仿宋" w:hAnsi="仿宋" w:eastAsia="仿宋" w:cs="仿宋"/>
          <w:color w:val="auto"/>
          <w:sz w:val="28"/>
          <w:szCs w:val="28"/>
          <w:u w:val="single"/>
          <w:lang w:val="en-US" w:eastAsia="zh-CN"/>
        </w:rPr>
        <w:t xml:space="preserve">                  </w:t>
      </w:r>
    </w:p>
    <w:p>
      <w:pPr>
        <w:ind w:left="1676" w:leftChars="798" w:firstLine="0" w:firstLineChars="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德化县生活垃圾焚烧发电项目</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工程机电安装工程及运营维护</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single"/>
          <w:lang w:eastAsia="zh-CN"/>
        </w:rPr>
        <w:t>干式变压器</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项目地址：</w:t>
      </w:r>
      <w:r>
        <w:rPr>
          <w:rFonts w:hint="eastAsia" w:ascii="仿宋" w:hAnsi="仿宋" w:eastAsia="仿宋" w:cs="仿宋"/>
          <w:color w:val="auto"/>
          <w:sz w:val="28"/>
          <w:szCs w:val="28"/>
          <w:u w:val="single"/>
        </w:rPr>
        <w:t>德化县龙门滩镇硕儒村茅仔格</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日    </w:t>
      </w:r>
    </w:p>
    <w:p>
      <w:pPr>
        <w:ind w:firstLine="1680" w:firstLineChars="600"/>
        <w:jc w:val="left"/>
        <w:rPr>
          <w:rFonts w:hint="eastAsia" w:ascii="仿宋" w:hAnsi="仿宋" w:eastAsia="仿宋" w:cs="仿宋"/>
          <w:color w:val="auto"/>
          <w:sz w:val="28"/>
          <w:szCs w:val="28"/>
        </w:rPr>
      </w:pPr>
      <w:r>
        <w:rPr>
          <w:rFonts w:hint="eastAsia" w:ascii="仿宋" w:hAnsi="仿宋" w:eastAsia="仿宋" w:cs="仿宋"/>
          <w:color w:val="auto"/>
          <w:sz w:val="28"/>
          <w:szCs w:val="28"/>
        </w:rPr>
        <w:t>签订地点：</w:t>
      </w:r>
      <w:r>
        <w:rPr>
          <w:rFonts w:hint="eastAsia" w:ascii="仿宋" w:hAnsi="仿宋" w:eastAsia="仿宋" w:cs="仿宋"/>
          <w:color w:val="auto"/>
          <w:sz w:val="28"/>
          <w:szCs w:val="28"/>
          <w:u w:val="single"/>
        </w:rPr>
        <w:t xml:space="preserve">  </w:t>
      </w:r>
      <w:r>
        <w:rPr>
          <w:rFonts w:hint="eastAsia" w:ascii="仿宋" w:hAnsi="仿宋" w:eastAsia="仿宋"/>
          <w:sz w:val="28"/>
          <w:szCs w:val="28"/>
          <w:u w:val="single"/>
        </w:rPr>
        <w:t>福建省福州市鼓楼区</w:t>
      </w:r>
      <w:r>
        <w:rPr>
          <w:rFonts w:hint="eastAsia" w:ascii="仿宋" w:hAnsi="仿宋" w:eastAsia="仿宋" w:cs="仿宋"/>
          <w:color w:val="auto"/>
          <w:sz w:val="28"/>
          <w:szCs w:val="28"/>
          <w:u w:val="single"/>
        </w:rPr>
        <w:t xml:space="preserve">    </w:t>
      </w:r>
    </w:p>
    <w:p>
      <w:pPr>
        <w:rPr>
          <w:rFonts w:ascii="宋体"/>
          <w:b/>
          <w:color w:val="auto"/>
          <w:sz w:val="36"/>
        </w:rPr>
        <w:sectPr>
          <w:footerReference r:id="rId3" w:type="default"/>
          <w:footerReference r:id="rId4" w:type="even"/>
          <w:pgSz w:w="11906" w:h="16838"/>
          <w:pgMar w:top="1440" w:right="707" w:bottom="1440" w:left="1588"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ind w:firstLine="2240" w:firstLineChars="800"/>
        <w:jc w:val="left"/>
        <w:rPr>
          <w:rFonts w:ascii="宋体" w:hAnsi="宋体"/>
          <w:color w:val="auto"/>
          <w:sz w:val="28"/>
          <w:szCs w:val="28"/>
        </w:rPr>
      </w:pP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甲方：福建省工业设备安装有限公司</w:t>
      </w: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乙方：</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甲方向乙方采购</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lang w:eastAsia="zh-CN"/>
        </w:rPr>
        <w:t>干式变压器</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，供应</w:t>
      </w:r>
      <w:r>
        <w:rPr>
          <w:rFonts w:hint="eastAsia" w:ascii="仿宋" w:hAnsi="仿宋" w:eastAsia="仿宋" w:cs="仿宋"/>
          <w:color w:val="auto"/>
          <w:sz w:val="22"/>
          <w:szCs w:val="22"/>
          <w:u w:val="single"/>
          <w:lang w:eastAsia="zh-CN"/>
        </w:rPr>
        <w:t>德化县生活垃圾焚烧发电项目工程机电安装工程及运营维护（干式变压器)</w:t>
      </w:r>
      <w:r>
        <w:rPr>
          <w:rFonts w:hint="eastAsia" w:ascii="仿宋" w:hAnsi="仿宋" w:eastAsia="仿宋" w:cs="仿宋"/>
          <w:color w:val="auto"/>
          <w:sz w:val="22"/>
          <w:szCs w:val="22"/>
          <w:u w:val="none"/>
          <w:lang w:val="en-US" w:eastAsia="zh-CN"/>
        </w:rPr>
        <w:t>项目</w:t>
      </w:r>
      <w:r>
        <w:rPr>
          <w:rFonts w:hint="eastAsia" w:ascii="仿宋" w:hAnsi="仿宋" w:eastAsia="仿宋" w:cs="仿宋"/>
          <w:color w:val="auto"/>
          <w:sz w:val="22"/>
          <w:szCs w:val="22"/>
        </w:rPr>
        <w:t>（以下简称指定项目）。为确保项目进度和质量，甲乙双方根据《中华人民共和国民法典》及相关法律法规，遵循平等互利和诚实信用原则，经协商一致，签订如下合同条款，双方共同信守。</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1 计划采购产品</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1.1</w:t>
      </w:r>
      <w:r>
        <w:rPr>
          <w:rFonts w:hint="eastAsia" w:ascii="仿宋" w:hAnsi="仿宋" w:eastAsia="仿宋" w:cs="仿宋"/>
          <w:color w:val="auto"/>
          <w:sz w:val="22"/>
          <w:szCs w:val="22"/>
          <w:highlight w:val="none"/>
        </w:rPr>
        <w:t>产品型号、规格</w:t>
      </w:r>
      <w:r>
        <w:rPr>
          <w:rFonts w:hint="eastAsia" w:ascii="仿宋" w:hAnsi="仿宋" w:eastAsia="仿宋" w:cs="仿宋"/>
          <w:color w:val="auto"/>
          <w:sz w:val="22"/>
          <w:szCs w:val="22"/>
        </w:rPr>
        <w:t>详见附件《</w:t>
      </w:r>
      <w:r>
        <w:rPr>
          <w:rFonts w:hint="eastAsia" w:ascii="仿宋" w:hAnsi="仿宋" w:eastAsia="仿宋" w:cs="仿宋"/>
          <w:color w:val="auto"/>
          <w:sz w:val="22"/>
          <w:szCs w:val="22"/>
          <w:lang w:eastAsia="zh-CN"/>
        </w:rPr>
        <w:t>干式变压器电气订货图</w:t>
      </w:r>
      <w:r>
        <w:rPr>
          <w:rFonts w:hint="eastAsia" w:ascii="仿宋" w:hAnsi="仿宋" w:eastAsia="仿宋" w:cs="仿宋"/>
          <w:color w:val="auto"/>
          <w:sz w:val="22"/>
          <w:szCs w:val="22"/>
        </w:rPr>
        <w:t>》</w:t>
      </w:r>
      <w:r>
        <w:rPr>
          <w:rFonts w:hint="eastAsia" w:ascii="仿宋" w:hAnsi="仿宋" w:eastAsia="仿宋" w:cs="仿宋"/>
          <w:color w:val="auto"/>
          <w:sz w:val="22"/>
          <w:szCs w:val="22"/>
          <w:highlight w:val="none"/>
          <w:u w:val="none"/>
          <w:lang w:eastAsia="zh-CN"/>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1.2合同总价：合同含税总价为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u w:val="single"/>
          <w:lang w:val="en-US" w:eastAsia="zh-CN"/>
        </w:rPr>
        <w:t xml:space="preserve">元 </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u w:val="single"/>
          <w:lang w:val="en-US" w:eastAsia="zh-CN"/>
        </w:rPr>
        <w:t xml:space="preserve">大写：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不含税</w:t>
      </w:r>
      <w:r>
        <w:rPr>
          <w:rFonts w:hint="eastAsia" w:ascii="仿宋" w:hAnsi="仿宋" w:eastAsia="仿宋" w:cs="仿宋"/>
          <w:color w:val="auto"/>
          <w:sz w:val="22"/>
          <w:szCs w:val="22"/>
          <w:lang w:val="en-US" w:eastAsia="zh-CN"/>
        </w:rPr>
        <w:t>金额为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元，增值税税额为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rPr>
        <w:t>增值税专用发票税率</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13</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%。最终按照实际收货数量结算，结算时不含税单价不变且乙方不得以任何原因涨价，否则承担合</w:t>
      </w:r>
      <w:r>
        <w:rPr>
          <w:rFonts w:hint="eastAsia" w:ascii="仿宋" w:hAnsi="仿宋" w:eastAsia="仿宋" w:cs="仿宋"/>
          <w:color w:val="auto"/>
          <w:sz w:val="22"/>
          <w:szCs w:val="22"/>
        </w:rPr>
        <w:t>同总价30%违约金。</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1.3 合同履行期间，若国家税率调整，则合同总价应做调整。是否调整合同总价以开具发票的时间为准。</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rPr>
      </w:pPr>
      <w:r>
        <w:rPr>
          <w:rFonts w:hint="eastAsia" w:ascii="仿宋" w:hAnsi="仿宋" w:eastAsia="仿宋" w:cs="仿宋"/>
          <w:color w:val="auto"/>
          <w:sz w:val="22"/>
          <w:szCs w:val="22"/>
          <w:lang w:val="en-US" w:eastAsia="zh-CN"/>
        </w:rPr>
        <w:t>1.4本系统设备清单中，按照业主方及甲方要求，如需卖方补供设备清单中未列明的材料、部件等，卖方应按照要求补供，费用视为包含在总价中，不另行增加。</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color w:val="auto"/>
          <w:sz w:val="22"/>
          <w:szCs w:val="22"/>
        </w:rPr>
      </w:pPr>
      <w:r>
        <w:rPr>
          <w:rFonts w:hint="eastAsia" w:ascii="仿宋" w:hAnsi="仿宋" w:eastAsia="仿宋" w:cs="仿宋"/>
          <w:b/>
          <w:bCs/>
          <w:color w:val="auto"/>
          <w:sz w:val="22"/>
          <w:szCs w:val="22"/>
        </w:rPr>
        <w:t>2 供货清单、运输及包装要求</w:t>
      </w:r>
      <w:bookmarkStart w:id="0" w:name="_GoBack"/>
      <w:bookmarkEnd w:id="0"/>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2.1乙方供货清单应与《</w:t>
      </w:r>
      <w:r>
        <w:rPr>
          <w:rFonts w:hint="eastAsia" w:ascii="仿宋" w:hAnsi="仿宋" w:eastAsia="仿宋" w:cs="仿宋"/>
          <w:color w:val="auto"/>
          <w:sz w:val="22"/>
          <w:szCs w:val="22"/>
          <w:lang w:eastAsia="zh-CN"/>
        </w:rPr>
        <w:t>干式变压器电气订货图</w:t>
      </w: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清单</w:t>
      </w:r>
      <w:r>
        <w:rPr>
          <w:rFonts w:hint="eastAsia" w:ascii="仿宋" w:hAnsi="仿宋" w:eastAsia="仿宋" w:cs="仿宋"/>
          <w:color w:val="auto"/>
          <w:sz w:val="22"/>
          <w:szCs w:val="22"/>
        </w:rPr>
        <w:t>一致，包括产品主体、随货备品备件。</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2.2货物应提供相关产品资料，包括</w:t>
      </w:r>
      <w:r>
        <w:rPr>
          <w:rFonts w:hint="eastAsia" w:ascii="仿宋" w:hAnsi="仿宋" w:eastAsia="仿宋" w:cs="仿宋"/>
          <w:color w:val="auto"/>
          <w:sz w:val="22"/>
          <w:szCs w:val="22"/>
          <w:lang w:eastAsia="zh-CN"/>
        </w:rPr>
        <w:t>但不限于</w:t>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随货清单、产品使用说明书、产品质量证明文件，产品检测报告，售后服务承诺函</w:t>
      </w:r>
      <w:r>
        <w:rPr>
          <w:rFonts w:hint="eastAsia" w:ascii="仿宋" w:hAnsi="仿宋" w:eastAsia="仿宋" w:cs="仿宋"/>
          <w:color w:val="auto"/>
          <w:sz w:val="22"/>
          <w:szCs w:val="22"/>
          <w:u w:val="single"/>
          <w:lang w:eastAsia="zh-CN"/>
        </w:rPr>
        <w:t>等</w:t>
      </w:r>
      <w:r>
        <w:rPr>
          <w:rFonts w:hint="eastAsia" w:ascii="仿宋" w:hAnsi="仿宋" w:eastAsia="仿宋" w:cs="仿宋"/>
          <w:color w:val="auto"/>
          <w:sz w:val="22"/>
          <w:szCs w:val="22"/>
          <w:u w:val="singl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2.3全部运输风险及费用由乙方承担。由乙方提供的产品均按标准保护措施进行包装，包装后的设备应该适合长途运输，防湿、防潮、防震、防锈、耐搬运装卸，以确保产品安全抵达指定现场。</w:t>
      </w:r>
      <w:r>
        <w:rPr>
          <w:rFonts w:hint="eastAsia" w:ascii="仿宋" w:hAnsi="仿宋" w:eastAsia="仿宋" w:cs="仿宋"/>
          <w:color w:val="auto"/>
          <w:sz w:val="22"/>
          <w:szCs w:val="22"/>
          <w:lang w:eastAsia="zh-CN"/>
        </w:rPr>
        <w:t>乙</w:t>
      </w:r>
      <w:r>
        <w:rPr>
          <w:rFonts w:hint="eastAsia" w:ascii="仿宋" w:hAnsi="仿宋" w:eastAsia="仿宋" w:cs="仿宋"/>
          <w:color w:val="auto"/>
          <w:sz w:val="22"/>
          <w:szCs w:val="22"/>
        </w:rPr>
        <w:t>方负责卸货。</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2.4由于包装不良所发生的损失，或由于包装采用不充分或不妥善的防护措施而造成的任何损毁，乙方应负担由此而产生的一切损失。</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2.5包装外应有明显的标记，</w:t>
      </w:r>
      <w:r>
        <w:rPr>
          <w:rFonts w:hint="eastAsia" w:ascii="仿宋" w:hAnsi="仿宋" w:eastAsia="仿宋" w:cs="仿宋"/>
          <w:color w:val="auto"/>
          <w:sz w:val="22"/>
          <w:szCs w:val="22"/>
          <w:u w:val="single"/>
        </w:rPr>
        <w:t>包装物不需回收</w:t>
      </w:r>
      <w:r>
        <w:rPr>
          <w:rFonts w:hint="eastAsia" w:ascii="仿宋" w:hAnsi="仿宋" w:eastAsia="仿宋" w:cs="仿宋"/>
          <w:color w:val="auto"/>
          <w:sz w:val="22"/>
          <w:szCs w:val="22"/>
        </w:rPr>
        <w:t>。</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3  交付时间及地点</w:t>
      </w:r>
    </w:p>
    <w:p>
      <w:pPr>
        <w:pStyle w:val="54"/>
        <w:rPr>
          <w:rFonts w:hint="eastAsia" w:ascii="仿宋" w:hAnsi="仿宋" w:eastAsia="仿宋" w:cs="仿宋"/>
          <w:sz w:val="22"/>
          <w:szCs w:val="22"/>
          <w:highlight w:val="none"/>
        </w:rPr>
      </w:pPr>
      <w:r>
        <w:rPr>
          <w:rFonts w:hint="eastAsia" w:ascii="仿宋" w:hAnsi="仿宋" w:eastAsia="仿宋" w:cs="仿宋"/>
          <w:color w:val="auto"/>
          <w:sz w:val="22"/>
          <w:szCs w:val="22"/>
        </w:rPr>
        <w:t>3.1交货时间：</w:t>
      </w:r>
      <w:r>
        <w:rPr>
          <w:rFonts w:hint="eastAsia" w:ascii="仿宋" w:hAnsi="仿宋" w:eastAsia="仿宋" w:cs="仿宋"/>
          <w:sz w:val="22"/>
          <w:szCs w:val="22"/>
        </w:rPr>
        <w:t>双方合同签订收到预付款后，</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天内交货</w:t>
      </w:r>
      <w:r>
        <w:rPr>
          <w:rFonts w:hint="eastAsia" w:ascii="仿宋" w:hAnsi="仿宋" w:eastAsia="仿宋" w:cs="仿宋"/>
          <w:color w:val="auto"/>
          <w:sz w:val="22"/>
          <w:szCs w:val="22"/>
          <w:highlight w:val="non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3.2交货地点：</w:t>
      </w:r>
      <w:r>
        <w:rPr>
          <w:rFonts w:hint="eastAsia" w:ascii="仿宋" w:hAnsi="仿宋" w:eastAsia="仿宋" w:cs="仿宋"/>
          <w:color w:val="auto"/>
          <w:sz w:val="22"/>
          <w:szCs w:val="22"/>
          <w:highlight w:val="none"/>
          <w:u w:val="single"/>
          <w:lang w:eastAsia="zh-CN"/>
        </w:rPr>
        <w:t>德化县生活垃圾焚烧发电项目工程机电安装工程及运营维护(干式变压器)</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施工现场内。</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 xml:space="preserve">4 </w:t>
      </w:r>
      <w:r>
        <w:rPr>
          <w:rFonts w:hint="eastAsia" w:ascii="仿宋" w:hAnsi="仿宋" w:eastAsia="仿宋" w:cs="仿宋"/>
          <w:b/>
          <w:bCs/>
          <w:color w:val="auto"/>
          <w:sz w:val="22"/>
          <w:szCs w:val="22"/>
          <w:highlight w:val="none"/>
          <w:lang w:eastAsia="zh-CN"/>
        </w:rPr>
        <w:t>设备</w:t>
      </w:r>
      <w:r>
        <w:rPr>
          <w:rFonts w:hint="eastAsia" w:ascii="仿宋" w:hAnsi="仿宋" w:eastAsia="仿宋" w:cs="仿宋"/>
          <w:b/>
          <w:bCs/>
          <w:color w:val="auto"/>
          <w:sz w:val="22"/>
          <w:szCs w:val="22"/>
          <w:highlight w:val="none"/>
        </w:rPr>
        <w:t>验收</w:t>
      </w:r>
      <w:r>
        <w:rPr>
          <w:rFonts w:hint="eastAsia" w:ascii="仿宋" w:hAnsi="仿宋" w:eastAsia="仿宋" w:cs="仿宋"/>
          <w:b/>
          <w:bCs/>
          <w:color w:val="auto"/>
          <w:sz w:val="22"/>
          <w:szCs w:val="22"/>
          <w:highlight w:val="none"/>
          <w:lang w:eastAsia="zh-CN"/>
        </w:rPr>
        <w:t>：具体以</w:t>
      </w:r>
      <w:r>
        <w:rPr>
          <w:rFonts w:hint="eastAsia" w:ascii="仿宋" w:hAnsi="仿宋" w:eastAsia="仿宋" w:cs="仿宋"/>
          <w:b/>
          <w:bCs/>
          <w:color w:val="auto"/>
          <w:sz w:val="22"/>
          <w:szCs w:val="22"/>
          <w:highlight w:val="none"/>
          <w:lang w:val="en-US" w:eastAsia="zh-CN"/>
        </w:rPr>
        <w:t>《干式变压器电气订货图》及国家、行业相关标准、合同约定标准为准。</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5 权利瑕疵担保</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5.1乙方应对合同设备，根据水运、陆运和空运等运输方式，向保险公司以甲方为受益人投保发运合同设备价格110％的运输一切险，保险区段为乙方仓库到工地交货后止。</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6安全、质量要求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6.1质量标准：符合《</w:t>
      </w:r>
      <w:r>
        <w:rPr>
          <w:rFonts w:hint="eastAsia" w:ascii="仿宋" w:hAnsi="仿宋" w:eastAsia="仿宋" w:cs="仿宋"/>
          <w:color w:val="auto"/>
          <w:sz w:val="22"/>
          <w:szCs w:val="22"/>
          <w:lang w:eastAsia="zh-CN"/>
        </w:rPr>
        <w:t>干式变压器电气订货图</w:t>
      </w:r>
      <w:r>
        <w:rPr>
          <w:rFonts w:hint="eastAsia" w:ascii="仿宋" w:hAnsi="仿宋" w:eastAsia="仿宋" w:cs="仿宋"/>
          <w:color w:val="auto"/>
          <w:sz w:val="22"/>
          <w:szCs w:val="22"/>
          <w:highlight w:val="none"/>
        </w:rPr>
        <w:t>》和国家</w:t>
      </w:r>
      <w:r>
        <w:rPr>
          <w:rFonts w:hint="eastAsia" w:ascii="仿宋" w:hAnsi="仿宋" w:eastAsia="仿宋" w:cs="仿宋"/>
          <w:color w:val="auto"/>
          <w:sz w:val="22"/>
          <w:szCs w:val="22"/>
          <w:highlight w:val="none"/>
          <w:lang w:eastAsia="zh-CN"/>
        </w:rPr>
        <w:t>、行业</w:t>
      </w:r>
      <w:r>
        <w:rPr>
          <w:rFonts w:hint="eastAsia" w:ascii="仿宋" w:hAnsi="仿宋" w:eastAsia="仿宋" w:cs="仿宋"/>
          <w:color w:val="auto"/>
          <w:sz w:val="22"/>
          <w:szCs w:val="22"/>
          <w:highlight w:val="none"/>
        </w:rPr>
        <w:t>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6.2产品质量执行贰年三包、终身保修。属于产品质量问题，</w:t>
      </w:r>
      <w:r>
        <w:rPr>
          <w:rFonts w:hint="eastAsia" w:ascii="仿宋" w:hAnsi="仿宋" w:eastAsia="仿宋" w:cs="仿宋"/>
          <w:color w:val="auto"/>
          <w:sz w:val="22"/>
          <w:szCs w:val="22"/>
          <w:highlight w:val="none"/>
          <w:lang w:eastAsia="zh-CN"/>
        </w:rPr>
        <w:t>保</w:t>
      </w:r>
      <w:r>
        <w:rPr>
          <w:rFonts w:hint="eastAsia" w:ascii="仿宋" w:hAnsi="仿宋" w:eastAsia="仿宋" w:cs="仿宋"/>
          <w:color w:val="auto"/>
          <w:sz w:val="22"/>
          <w:szCs w:val="22"/>
          <w:highlight w:val="none"/>
        </w:rPr>
        <w:t>修期</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内包修、包换、包退，并为客户提供终身维修服务，配件优惠供应。</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6.3乙方保证本合同中向甲方提供的产品为全新的并且符合《</w:t>
      </w:r>
      <w:r>
        <w:rPr>
          <w:rFonts w:hint="eastAsia" w:ascii="仿宋" w:hAnsi="仿宋" w:eastAsia="仿宋" w:cs="仿宋"/>
          <w:color w:val="auto"/>
          <w:sz w:val="22"/>
          <w:szCs w:val="22"/>
          <w:lang w:eastAsia="zh-CN"/>
        </w:rPr>
        <w:t>干式变压器电气订货图</w:t>
      </w:r>
      <w:r>
        <w:rPr>
          <w:rFonts w:hint="eastAsia" w:ascii="仿宋" w:hAnsi="仿宋" w:eastAsia="仿宋" w:cs="仿宋"/>
          <w:color w:val="auto"/>
          <w:sz w:val="22"/>
          <w:szCs w:val="22"/>
          <w:highlight w:val="none"/>
        </w:rPr>
        <w:t>》和国家标准要求且符合项目所在地的所有相关规范标准规定的要求。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7 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7.1</w:t>
      </w:r>
      <w:r>
        <w:rPr>
          <w:rFonts w:hint="eastAsia" w:ascii="仿宋" w:hAnsi="仿宋" w:eastAsia="仿宋" w:cs="仿宋"/>
          <w:b w:val="0"/>
          <w:bCs w:val="0"/>
          <w:color w:val="auto"/>
          <w:sz w:val="22"/>
          <w:szCs w:val="22"/>
          <w:highlight w:val="none"/>
        </w:rPr>
        <w:t>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 xml:space="preserve"> 设备及工器具购置费的支付：</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auto"/>
          <w:sz w:val="22"/>
          <w:szCs w:val="22"/>
          <w:highlight w:val="none"/>
        </w:rPr>
        <w:t>签订之日起30日内预付10%</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设备到场支付该设备款项的70%（应扣除相应预付款）；72+24小时满负荷试运行通过后支付到设备总价款的85%；性能验收通过后支付到设备总价款的90%；环保验收、</w:t>
      </w:r>
      <w:r>
        <w:rPr>
          <w:rFonts w:hint="eastAsia" w:ascii="仿宋" w:hAnsi="仿宋" w:eastAsia="仿宋" w:cs="仿宋"/>
          <w:color w:val="auto"/>
          <w:sz w:val="22"/>
          <w:szCs w:val="22"/>
          <w:highlight w:val="none"/>
          <w:lang w:val="en-US" w:eastAsia="zh-CN"/>
        </w:rPr>
        <w:t>档</w:t>
      </w:r>
      <w:r>
        <w:rPr>
          <w:rFonts w:hint="eastAsia" w:ascii="仿宋" w:hAnsi="仿宋" w:eastAsia="仿宋" w:cs="仿宋"/>
          <w:color w:val="auto"/>
          <w:sz w:val="22"/>
          <w:szCs w:val="22"/>
          <w:highlight w:val="none"/>
        </w:rPr>
        <w:t>案验收并经结算</w:t>
      </w:r>
      <w:r>
        <w:rPr>
          <w:rFonts w:hint="eastAsia" w:ascii="仿宋" w:hAnsi="仿宋" w:eastAsia="仿宋" w:cs="仿宋"/>
          <w:color w:val="auto"/>
          <w:sz w:val="22"/>
          <w:szCs w:val="22"/>
          <w:highlight w:val="none"/>
          <w:lang w:eastAsia="zh-CN"/>
        </w:rPr>
        <w:t>审核通过</w:t>
      </w:r>
      <w:r>
        <w:rPr>
          <w:rFonts w:hint="eastAsia" w:ascii="仿宋" w:hAnsi="仿宋" w:eastAsia="仿宋" w:cs="仿宋"/>
          <w:color w:val="auto"/>
          <w:sz w:val="22"/>
          <w:szCs w:val="22"/>
          <w:highlight w:val="none"/>
        </w:rPr>
        <w:t>后支付至结算审核价的97%，</w:t>
      </w:r>
      <w:r>
        <w:rPr>
          <w:rFonts w:hint="eastAsia" w:ascii="仿宋" w:hAnsi="仿宋" w:eastAsia="仿宋" w:cs="仿宋"/>
          <w:color w:val="auto"/>
          <w:sz w:val="22"/>
          <w:szCs w:val="22"/>
          <w:highlight w:val="none"/>
          <w:lang w:eastAsia="zh-CN"/>
        </w:rPr>
        <w:t>余</w:t>
      </w:r>
      <w:r>
        <w:rPr>
          <w:rFonts w:hint="eastAsia" w:ascii="仿宋" w:hAnsi="仿宋" w:eastAsia="仿宋" w:cs="仿宋"/>
          <w:color w:val="auto"/>
          <w:sz w:val="22"/>
          <w:szCs w:val="22"/>
          <w:highlight w:val="none"/>
        </w:rPr>
        <w:t>结算审核价的3%作为质保金在缺陷责任期结束后30个工作日内付清。调试试运行费的支付：72+24小时满负荷试运行通过后15天内支付。</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7.2发票要求</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7.2.3开票信息如下：</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公司名称：福建省工业设备安装有限公司地址：福建省福州市福新路297号</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纳税人识别号：91350000158162691H </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电话：0591-87564310</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开户行：中国建设银行股份有限公司福建省分行账号：35001002406050006006</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发票对应的货品信息（包括型号规格、单位、数量、金额等）必须与本合同一致。</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bl>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甲方将款项汇入乙方指定账户，视为乙方已收到款项。因乙方指定账户发生纠纷，均由乙方负责，概与甲方无关。</w:t>
      </w:r>
    </w:p>
    <w:p>
      <w:pPr>
        <w:pStyle w:val="24"/>
        <w:ind w:firstLine="440" w:firstLineChars="200"/>
        <w:rPr>
          <w:rFonts w:hint="eastAsia" w:ascii="仿宋" w:hAnsi="仿宋" w:eastAsia="仿宋" w:cs="仿宋"/>
          <w:sz w:val="22"/>
          <w:szCs w:val="22"/>
          <w:highlight w:val="none"/>
          <w:lang w:val="en-US" w:eastAsia="zh-CN"/>
        </w:rPr>
      </w:pPr>
      <w:r>
        <w:rPr>
          <w:rFonts w:hint="eastAsia" w:ascii="仿宋" w:hAnsi="仿宋" w:eastAsia="仿宋" w:cs="仿宋"/>
          <w:color w:val="auto"/>
          <w:sz w:val="22"/>
          <w:szCs w:val="22"/>
          <w:highlight w:val="none"/>
          <w:lang w:val="en-US" w:eastAsia="zh-CN"/>
        </w:rPr>
        <w:t>7.4 乙方理解并同意，由于发包人未能按总包合同约定支付甲方工程款/设备款，甲方相应顺延乙方的款项支付，甲方无需对乙方承担任何违约责任。</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8 质保责任</w:t>
      </w:r>
    </w:p>
    <w:p>
      <w:pPr>
        <w:keepNext w:val="0"/>
        <w:keepLines w:val="0"/>
        <w:pageBreakBefore w:val="0"/>
        <w:widowControl/>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8.1本合同产品保修期为</w:t>
      </w:r>
      <w:r>
        <w:rPr>
          <w:rFonts w:hint="eastAsia" w:ascii="仿宋" w:hAnsi="仿宋" w:eastAsia="仿宋" w:cs="仿宋"/>
          <w:color w:val="auto"/>
          <w:kern w:val="0"/>
          <w:sz w:val="22"/>
          <w:szCs w:val="22"/>
          <w:highlight w:val="none"/>
          <w:lang w:bidi="ar"/>
        </w:rPr>
        <w:t>设备调试合格之日起计 24 个月，或设备交货之日起 27 个月，</w:t>
      </w:r>
      <w:r>
        <w:rPr>
          <w:rFonts w:hint="eastAsia" w:ascii="仿宋" w:hAnsi="仿宋" w:eastAsia="仿宋" w:cs="仿宋"/>
          <w:color w:val="auto"/>
          <w:sz w:val="22"/>
          <w:szCs w:val="22"/>
          <w:highlight w:val="none"/>
          <w:u w:val="single"/>
        </w:rPr>
        <w:t>（时间点以先到为准）</w:t>
      </w:r>
      <w:r>
        <w:rPr>
          <w:rFonts w:hint="eastAsia" w:ascii="仿宋" w:hAnsi="仿宋" w:eastAsia="仿宋" w:cs="仿宋"/>
          <w:color w:val="auto"/>
          <w:sz w:val="22"/>
          <w:szCs w:val="22"/>
          <w:highlight w:val="none"/>
        </w:rPr>
        <w:t>，因产品质量造成的产品故障由乙方负责免费保修。（不含人为或自然灾害因素造成的损坏）</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8.2在质保期内，本系统产品若发生故障，乙方应在</w:t>
      </w:r>
      <w:r>
        <w:rPr>
          <w:rFonts w:hint="eastAsia" w:ascii="仿宋" w:hAnsi="仿宋" w:eastAsia="仿宋" w:cs="仿宋"/>
          <w:color w:val="auto"/>
          <w:sz w:val="22"/>
          <w:szCs w:val="22"/>
          <w:highlight w:val="none"/>
          <w:u w:val="single"/>
        </w:rPr>
        <w:t xml:space="preserve">  24 </w:t>
      </w:r>
      <w:r>
        <w:rPr>
          <w:rFonts w:hint="eastAsia" w:ascii="仿宋" w:hAnsi="仿宋" w:eastAsia="仿宋" w:cs="仿宋"/>
          <w:color w:val="auto"/>
          <w:sz w:val="22"/>
          <w:szCs w:val="22"/>
          <w:highlight w:val="none"/>
        </w:rPr>
        <w:t>小时内响应，3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小时内修复；因特殊情况而在3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小时内无法修复的，乙方应提供备品备件，保证系统正常运行。</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8.3在质保期内，乙方应免费提供售后质保服务，但属于因不正常操作及人为或自然灾害、甲方自行卸改换机内任何部分（如线路、零件等）以及非专业技术人员</w:t>
      </w:r>
      <w:r>
        <w:rPr>
          <w:rFonts w:hint="eastAsia" w:ascii="仿宋" w:hAnsi="仿宋" w:eastAsia="仿宋" w:cs="仿宋"/>
          <w:color w:val="auto"/>
          <w:sz w:val="22"/>
          <w:szCs w:val="22"/>
          <w:highlight w:val="none"/>
          <w:lang w:eastAsia="zh-CN"/>
        </w:rPr>
        <w:t>指导</w:t>
      </w:r>
      <w:r>
        <w:rPr>
          <w:rFonts w:hint="eastAsia" w:ascii="仿宋" w:hAnsi="仿宋" w:eastAsia="仿宋" w:cs="仿宋"/>
          <w:color w:val="auto"/>
          <w:sz w:val="22"/>
          <w:szCs w:val="22"/>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8.4在质保期满后，乙方提供有偿维护服务，并承诺系统维护所需的备品备件单价不变，如需收取技术支持及服务费用，收费标准由甲乙双方另行协商。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8.5 在质保期内，乙方未能履行合同“本合同第</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条质保责任”约定的义务，甲方有权自行委托第三方进行维护，产生费用由乙方承担。甲方有权直接从未付款项中直接扣除。</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9 调试服务</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9.1乙方负责</w:t>
      </w:r>
      <w:r>
        <w:rPr>
          <w:rFonts w:hint="eastAsia" w:ascii="仿宋" w:hAnsi="仿宋" w:eastAsia="仿宋" w:cs="仿宋"/>
          <w:color w:val="auto"/>
          <w:sz w:val="22"/>
          <w:szCs w:val="22"/>
          <w:highlight w:val="none"/>
          <w:lang w:eastAsia="zh-CN"/>
        </w:rPr>
        <w:t>指导安装和</w:t>
      </w:r>
      <w:r>
        <w:rPr>
          <w:rFonts w:hint="eastAsia" w:ascii="仿宋" w:hAnsi="仿宋" w:eastAsia="仿宋" w:cs="仿宋"/>
          <w:color w:val="auto"/>
          <w:sz w:val="22"/>
          <w:szCs w:val="22"/>
          <w:highlight w:val="none"/>
        </w:rPr>
        <w:t>调试工作，并提供满足《</w:t>
      </w:r>
      <w:r>
        <w:rPr>
          <w:rFonts w:hint="eastAsia" w:ascii="仿宋" w:hAnsi="仿宋" w:eastAsia="仿宋" w:cs="仿宋"/>
          <w:color w:val="auto"/>
          <w:sz w:val="22"/>
          <w:szCs w:val="22"/>
          <w:lang w:eastAsia="zh-CN"/>
        </w:rPr>
        <w:t>干式变压器电气订货图</w:t>
      </w:r>
      <w:r>
        <w:rPr>
          <w:rFonts w:hint="eastAsia" w:ascii="仿宋" w:hAnsi="仿宋" w:eastAsia="仿宋" w:cs="仿宋"/>
          <w:color w:val="auto"/>
          <w:sz w:val="22"/>
          <w:szCs w:val="22"/>
          <w:highlight w:val="none"/>
        </w:rPr>
        <w:t>》要求的其他相关技术服务。调试内容详见《</w:t>
      </w:r>
      <w:r>
        <w:rPr>
          <w:rFonts w:hint="eastAsia" w:ascii="仿宋" w:hAnsi="仿宋" w:eastAsia="仿宋" w:cs="仿宋"/>
          <w:color w:val="auto"/>
          <w:sz w:val="22"/>
          <w:szCs w:val="22"/>
          <w:lang w:eastAsia="zh-CN"/>
        </w:rPr>
        <w:t>干式变压器电气订货图</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10 不可抗力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任何一方由于自然灾害等不可抗力的原因而不能履行合同时，应及时向对方通报，取得有关权力机关的证明后，允许延期履行，部分履行或不履行合同，并根据情况免于承担违约责任。但双方应尽快安排下一步合同的执行。</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11 指定验收人、联络与送达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11.1合同标的物到货验收人员：①</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林春堆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18006981899</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）、②</w:t>
      </w:r>
      <w:r>
        <w:rPr>
          <w:rFonts w:hint="eastAsia" w:ascii="仿宋" w:hAnsi="仿宋" w:eastAsia="仿宋" w:cs="仿宋"/>
          <w:color w:val="auto"/>
          <w:sz w:val="22"/>
          <w:szCs w:val="22"/>
          <w:highlight w:val="none"/>
          <w:u w:val="single"/>
          <w:lang w:eastAsia="zh-CN"/>
        </w:rPr>
        <w:t>刘陈焱</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：18659331239</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）③</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18906066636</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11.1甲方指定联系地址为</w:t>
      </w:r>
      <w:r>
        <w:rPr>
          <w:rFonts w:hint="eastAsia" w:ascii="仿宋" w:hAnsi="仿宋" w:eastAsia="仿宋" w:cs="仿宋"/>
          <w:color w:val="auto"/>
          <w:sz w:val="22"/>
          <w:szCs w:val="22"/>
          <w:highlight w:val="none"/>
          <w:u w:val="single"/>
        </w:rPr>
        <w:t>福建省漳州市芗城区胜利西路101号</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 xml:space="preserve"> 手机：</w:t>
      </w:r>
      <w:r>
        <w:rPr>
          <w:rFonts w:hint="eastAsia" w:ascii="仿宋" w:hAnsi="仿宋" w:eastAsia="仿宋" w:cs="仿宋"/>
          <w:color w:val="auto"/>
          <w:sz w:val="22"/>
          <w:szCs w:val="22"/>
          <w:highlight w:val="none"/>
          <w:u w:val="single"/>
        </w:rPr>
        <w:t xml:space="preserve">18906066636 </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11.2乙方指定联系地址为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手机：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。用邮政特快专递邮寄到前述地址，或通过手机、QQ、微信、电子邮箱等方式送达，均视有效送达乙方。</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12、违约责任</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%计算，误期违约金最高不超过合同总金额的20%。</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pPr>
        <w:pStyle w:val="35"/>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.7乙方装卸、运输过程中的一切人员、机械、车辆安全，乙方应按国家及地方规定办理相关手续及各类保险、责任自负。</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.8乙方装卸、运输中应做相应的环保措施（符合国家环保要求），因环保造成的一切罚款由乙方自行承担。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.9乙方应处理好施工现场外的社会关系，防止社会上不相关人员干扰，确保供货到施工现场。否则，由此造成的逾期交货所有损失由乙方承担</w:t>
      </w:r>
      <w:r>
        <w:rPr>
          <w:rFonts w:hint="eastAsia" w:ascii="仿宋" w:hAnsi="仿宋" w:eastAsia="仿宋" w:cs="仿宋"/>
          <w:bCs/>
          <w:color w:val="auto"/>
          <w:sz w:val="22"/>
          <w:szCs w:val="22"/>
          <w:highlight w:val="none"/>
          <w:lang w:eastAsia="zh-CN"/>
        </w:rPr>
        <w:t>。</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.10 甲方逾期支付价款的，乙方可按照中国人民银行授权全国银行间同业拆借中心公布的一年期贷款市场报价利率（LPR）请求甲方支付逾期付款违约金，最高不超过</w:t>
      </w:r>
      <w:r>
        <w:rPr>
          <w:rFonts w:hint="eastAsia" w:ascii="仿宋" w:hAnsi="仿宋" w:eastAsia="仿宋" w:cs="仿宋"/>
          <w:bCs/>
          <w:color w:val="auto"/>
          <w:sz w:val="22"/>
          <w:szCs w:val="22"/>
          <w:highlight w:val="none"/>
          <w:lang w:eastAsia="zh-CN"/>
        </w:rPr>
        <w:t>未付款</w:t>
      </w:r>
      <w:r>
        <w:rPr>
          <w:rFonts w:hint="eastAsia" w:ascii="仿宋" w:hAnsi="仿宋" w:eastAsia="仿宋" w:cs="仿宋"/>
          <w:bCs/>
          <w:color w:val="auto"/>
          <w:sz w:val="22"/>
          <w:szCs w:val="22"/>
          <w:highlight w:val="none"/>
        </w:rPr>
        <w:t>金额的5%。</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13 争议解决方式</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 发生纠纷，由甲乙双方领导协商解决，协商不成任何一方均可向甲方所在地人民法院提起诉讼。</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.2 本合同关于争议的解决方式的约定具有最终效力，双方以后发生的补充合同、会议纪要、往来函件、发料单、物资结算单等涉及到争议解决方式的，均不得对抗此约定。</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14特别约定</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.2 双方均应诚信履约。若甲方无故延迟付款超过90日，乙方应暂停向甲方指定项目部供货，并书面发催款函。（收信地址为</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u w:val="single"/>
          <w:lang w:val="en-US" w:eastAsia="zh-CN"/>
        </w:rPr>
        <w:t xml:space="preserve">福州市鼓楼区福新路297号福建省工业设备安装有限公司法务部，写明项目名称和欠款金额，附有关材料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）否则，视为乙方同意免除付款责任。</w:t>
      </w:r>
    </w:p>
    <w:p>
      <w:pPr>
        <w:pStyle w:val="8"/>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.3 福建省工业设备安装有限公司</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德化县生活垃圾焚烧发电项目工程机电安装工程及运营维护(干式变压器)  </w:t>
      </w:r>
      <w:r>
        <w:rPr>
          <w:rFonts w:hint="eastAsia" w:ascii="仿宋" w:hAnsi="仿宋" w:eastAsia="仿宋" w:cs="仿宋"/>
          <w:bCs/>
          <w:color w:val="auto"/>
          <w:sz w:val="22"/>
          <w:szCs w:val="22"/>
          <w:highlight w:val="none"/>
        </w:rPr>
        <w:t>项目经理部向乙方作出包括但不限于工作指令、要求、支付费用等，视同为甲方履行本合同权利和义务。但仅有自然人签字未经甲方及授权分支机构盖章确认，对双方不产生法律效力。</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.4未经甲方允许，乙方不得将债权债务转让给合同外第三方行使。否则，除转让无效外，乙方还应按合同总价30%向甲方支付违约金。</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15生效及其他</w:t>
      </w:r>
    </w:p>
    <w:p>
      <w:pPr>
        <w:adjustRightInd w:val="0"/>
        <w:snapToGrid w:val="0"/>
        <w:spacing w:line="288" w:lineRule="auto"/>
        <w:ind w:firstLine="444" w:firstLineChars="202"/>
        <w:rPr>
          <w:rFonts w:hint="eastAsia" w:ascii="仿宋" w:hAnsi="仿宋" w:eastAsia="仿宋" w:cs="仿宋"/>
          <w:bCs/>
          <w:sz w:val="22"/>
          <w:szCs w:val="22"/>
          <w:highlight w:val="none"/>
        </w:rPr>
      </w:pPr>
      <w:r>
        <w:rPr>
          <w:rFonts w:hint="eastAsia" w:ascii="仿宋" w:hAnsi="仿宋" w:eastAsia="仿宋" w:cs="仿宋"/>
          <w:color w:val="auto"/>
          <w:sz w:val="22"/>
          <w:szCs w:val="22"/>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仿宋" w:hAnsi="仿宋" w:eastAsia="仿宋" w:cs="仿宋"/>
          <w:color w:val="auto"/>
          <w:sz w:val="22"/>
          <w:szCs w:val="22"/>
          <w:lang w:eastAsia="zh-CN"/>
        </w:rPr>
        <w:t>干式变压器电气订货图</w:t>
      </w:r>
      <w:r>
        <w:rPr>
          <w:rFonts w:hint="eastAsia" w:ascii="仿宋" w:hAnsi="仿宋" w:eastAsia="仿宋" w:cs="仿宋"/>
          <w:color w:val="auto"/>
          <w:sz w:val="22"/>
          <w:szCs w:val="22"/>
          <w:highlight w:val="none"/>
        </w:rPr>
        <w:t>》所约定的技术要求的，以甲方与总承包方、总承包方与业主签订的技术规范书约定的为准。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15.2本合同自双方签字（或盖签字章）并加盖单位公章之日起生效。</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15.3本合同一式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份，甲方执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份，乙方执</w:t>
      </w:r>
      <w:r>
        <w:rPr>
          <w:rFonts w:hint="eastAsia" w:ascii="仿宋" w:hAnsi="仿宋" w:eastAsia="仿宋" w:cs="仿宋"/>
          <w:color w:val="auto"/>
          <w:sz w:val="22"/>
          <w:szCs w:val="22"/>
          <w:highlight w:val="none"/>
          <w:u w:val="single"/>
        </w:rPr>
        <w:t xml:space="preserve">壹 </w:t>
      </w:r>
      <w:r>
        <w:rPr>
          <w:rFonts w:hint="eastAsia" w:ascii="仿宋" w:hAnsi="仿宋" w:eastAsia="仿宋" w:cs="仿宋"/>
          <w:color w:val="auto"/>
          <w:sz w:val="22"/>
          <w:szCs w:val="22"/>
          <w:highlight w:val="none"/>
        </w:rPr>
        <w:t>份，具有同等法律效力。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15.4双方确认，在签署本协议之前已仔细审阅过协议内容，并完全了解协议各条款的法律含义。</w:t>
      </w: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r>
        <w:rPr>
          <w:rFonts w:hint="eastAsia" w:ascii="仿宋" w:hAnsi="仿宋" w:eastAsia="仿宋" w:cs="仿宋"/>
          <w:sz w:val="22"/>
          <w:szCs w:val="22"/>
        </w:rPr>
        <w:t>合同签署页：</w:t>
      </w:r>
    </w:p>
    <w:tbl>
      <w:tblPr>
        <w:tblStyle w:val="17"/>
        <w:tblpPr w:leftFromText="180" w:rightFromText="180" w:vertAnchor="text" w:horzAnchor="margin" w:tblpX="-67" w:tblpY="221"/>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0" w:hRule="atLeast"/>
        </w:trPr>
        <w:tc>
          <w:tcPr>
            <w:tcW w:w="4553" w:type="dxa"/>
          </w:tcPr>
          <w:p>
            <w:pPr>
              <w:adjustRightInd w:val="0"/>
              <w:snapToGrid w:val="0"/>
              <w:ind w:left="-424" w:leftChars="-202" w:firstLine="446" w:firstLineChars="202"/>
              <w:jc w:val="center"/>
              <w:rPr>
                <w:rFonts w:hint="eastAsia" w:ascii="仿宋" w:hAnsi="仿宋" w:eastAsia="仿宋" w:cs="仿宋"/>
                <w:b/>
                <w:bCs/>
                <w:sz w:val="22"/>
                <w:szCs w:val="22"/>
              </w:rPr>
            </w:pPr>
            <w:r>
              <w:rPr>
                <w:rFonts w:hint="eastAsia" w:ascii="仿宋" w:hAnsi="仿宋" w:eastAsia="仿宋" w:cs="仿宋"/>
                <w:b/>
                <w:bCs/>
                <w:sz w:val="22"/>
                <w:szCs w:val="22"/>
              </w:rPr>
              <w:t>甲   方</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甲方（章）：福建省工业设备安装有限公司</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地址：福建省福州市福新路297号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委托代理人：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电    话：0591-87564310</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开户银行：建设银行股份有限公司福建省分行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号：3500 1002 4060 5000 6006</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纳税识别号：9135 0000 1581 6269 1H</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联 系 人：</w:t>
            </w:r>
            <w:r>
              <w:rPr>
                <w:rFonts w:hint="eastAsia" w:ascii="仿宋" w:hAnsi="仿宋" w:eastAsia="仿宋" w:cs="仿宋"/>
                <w:color w:val="auto"/>
                <w:sz w:val="22"/>
                <w:szCs w:val="22"/>
                <w:highlight w:val="none"/>
                <w:u w:val="none"/>
              </w:rPr>
              <w:t xml:space="preserve">林衍铭 18906066636 </w:t>
            </w:r>
            <w:r>
              <w:rPr>
                <w:rFonts w:hint="eastAsia" w:ascii="仿宋" w:hAnsi="仿宋" w:eastAsia="仿宋" w:cs="仿宋"/>
                <w:bCs/>
                <w:color w:val="auto"/>
                <w:sz w:val="22"/>
                <w:szCs w:val="22"/>
                <w:highlight w:val="none"/>
                <w:u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日    期：202</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年</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月</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日</w:t>
            </w:r>
          </w:p>
        </w:tc>
        <w:tc>
          <w:tcPr>
            <w:tcW w:w="5403" w:type="dxa"/>
          </w:tcPr>
          <w:p>
            <w:pPr>
              <w:spacing w:line="276" w:lineRule="auto"/>
              <w:jc w:val="center"/>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         方</w:t>
            </w:r>
          </w:p>
          <w:p>
            <w:pPr>
              <w:spacing w:line="25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乙方（章）：</w:t>
            </w:r>
          </w:p>
          <w:p>
            <w:pPr>
              <w:spacing w:line="250"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地     址：</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委托代理人</w:t>
            </w:r>
            <w:r>
              <w:rPr>
                <w:rFonts w:hint="eastAsia" w:ascii="仿宋" w:hAnsi="仿宋" w:eastAsia="仿宋" w:cs="仿宋"/>
                <w:color w:val="auto"/>
                <w:sz w:val="22"/>
                <w:szCs w:val="22"/>
                <w:highlight w:val="none"/>
              </w:rPr>
              <w:t>：</w:t>
            </w:r>
          </w:p>
          <w:p>
            <w:pPr>
              <w:spacing w:line="250" w:lineRule="auto"/>
              <w:rPr>
                <w:rFonts w:hint="eastAsia" w:ascii="仿宋" w:hAnsi="仿宋" w:eastAsia="仿宋" w:cs="仿宋"/>
                <w:color w:val="auto"/>
                <w:kern w:val="0"/>
                <w:sz w:val="22"/>
                <w:szCs w:val="22"/>
                <w:highlight w:val="none"/>
              </w:rPr>
            </w:pPr>
            <w:r>
              <w:rPr>
                <w:rFonts w:hint="eastAsia" w:ascii="仿宋" w:hAnsi="仿宋" w:eastAsia="仿宋" w:cs="仿宋"/>
                <w:bCs/>
                <w:color w:val="auto"/>
                <w:sz w:val="22"/>
                <w:szCs w:val="22"/>
                <w:highlight w:val="none"/>
              </w:rPr>
              <w:t>电     话：</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w:t>
            </w:r>
            <w:r>
              <w:rPr>
                <w:rFonts w:hint="eastAsia" w:ascii="仿宋" w:hAnsi="仿宋" w:eastAsia="仿宋" w:cs="仿宋"/>
                <w:color w:val="auto"/>
                <w:sz w:val="22"/>
                <w:szCs w:val="22"/>
                <w:highlight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联系人：</w:t>
            </w:r>
          </w:p>
        </w:tc>
      </w:tr>
    </w:tbl>
    <w:p>
      <w:pPr>
        <w:rPr>
          <w:rFonts w:hint="eastAsia" w:ascii="宋体" w:hAnsi="宋体" w:eastAsia="宋体" w:cs="宋体"/>
          <w:b/>
          <w:bCs/>
          <w:color w:val="auto"/>
          <w:sz w:val="24"/>
          <w:szCs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998" w:bottom="1134" w:left="99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pPr>
      <w:pStyle w:val="10"/>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0ZGRjMmNiMmUwNzM4ODA1Zjc4NDU3ODdmNjZkNGUifQ=="/>
  </w:docVars>
  <w:rsids>
    <w:rsidRoot w:val="00276377"/>
    <w:rsid w:val="00003EE8"/>
    <w:rsid w:val="0006512C"/>
    <w:rsid w:val="00077283"/>
    <w:rsid w:val="000A1A98"/>
    <w:rsid w:val="000B128C"/>
    <w:rsid w:val="000D45F0"/>
    <w:rsid w:val="00107C2D"/>
    <w:rsid w:val="00142882"/>
    <w:rsid w:val="001447FF"/>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B413B5"/>
    <w:rsid w:val="042F43CA"/>
    <w:rsid w:val="05FD4007"/>
    <w:rsid w:val="06040DB4"/>
    <w:rsid w:val="062157E1"/>
    <w:rsid w:val="06816127"/>
    <w:rsid w:val="07210C6F"/>
    <w:rsid w:val="07354260"/>
    <w:rsid w:val="073B53CC"/>
    <w:rsid w:val="098719B6"/>
    <w:rsid w:val="09A11DFF"/>
    <w:rsid w:val="09A52C7D"/>
    <w:rsid w:val="0A631557"/>
    <w:rsid w:val="0E240CE0"/>
    <w:rsid w:val="0E2965E4"/>
    <w:rsid w:val="0EA2719F"/>
    <w:rsid w:val="103726B9"/>
    <w:rsid w:val="113E0203"/>
    <w:rsid w:val="147D5501"/>
    <w:rsid w:val="14AF0804"/>
    <w:rsid w:val="150A69CF"/>
    <w:rsid w:val="1600443A"/>
    <w:rsid w:val="1619122F"/>
    <w:rsid w:val="16C31C52"/>
    <w:rsid w:val="172A6A53"/>
    <w:rsid w:val="186C3A06"/>
    <w:rsid w:val="1A1B1825"/>
    <w:rsid w:val="1A31607E"/>
    <w:rsid w:val="1A6B3F12"/>
    <w:rsid w:val="1AC209D8"/>
    <w:rsid w:val="1AD04ABD"/>
    <w:rsid w:val="1B1428AC"/>
    <w:rsid w:val="1B9C18D3"/>
    <w:rsid w:val="1C1A17E3"/>
    <w:rsid w:val="1C2412A0"/>
    <w:rsid w:val="1C4A2707"/>
    <w:rsid w:val="1CF13BA5"/>
    <w:rsid w:val="1D3A4289"/>
    <w:rsid w:val="1D6C6E02"/>
    <w:rsid w:val="1DC72164"/>
    <w:rsid w:val="1DCB30FA"/>
    <w:rsid w:val="1E05249D"/>
    <w:rsid w:val="1ED011A8"/>
    <w:rsid w:val="20872A44"/>
    <w:rsid w:val="21B24950"/>
    <w:rsid w:val="226A0D12"/>
    <w:rsid w:val="24205B69"/>
    <w:rsid w:val="254055CD"/>
    <w:rsid w:val="25FF40BF"/>
    <w:rsid w:val="260121AA"/>
    <w:rsid w:val="28490153"/>
    <w:rsid w:val="29C31BF9"/>
    <w:rsid w:val="2BBC4E7D"/>
    <w:rsid w:val="2D6F5802"/>
    <w:rsid w:val="2DED0882"/>
    <w:rsid w:val="308F0891"/>
    <w:rsid w:val="32937389"/>
    <w:rsid w:val="33856478"/>
    <w:rsid w:val="33D601A2"/>
    <w:rsid w:val="34FB0485"/>
    <w:rsid w:val="35007E14"/>
    <w:rsid w:val="35915F58"/>
    <w:rsid w:val="35B56411"/>
    <w:rsid w:val="37F0126C"/>
    <w:rsid w:val="38530FFA"/>
    <w:rsid w:val="38D07E37"/>
    <w:rsid w:val="39396EE6"/>
    <w:rsid w:val="39784488"/>
    <w:rsid w:val="39916D19"/>
    <w:rsid w:val="39A732AF"/>
    <w:rsid w:val="3AE15A01"/>
    <w:rsid w:val="3B7135F5"/>
    <w:rsid w:val="3B9F77B5"/>
    <w:rsid w:val="3DE8158B"/>
    <w:rsid w:val="3E947D65"/>
    <w:rsid w:val="3F47212A"/>
    <w:rsid w:val="401B3526"/>
    <w:rsid w:val="40FE7355"/>
    <w:rsid w:val="42134384"/>
    <w:rsid w:val="42D16AA7"/>
    <w:rsid w:val="43857DE4"/>
    <w:rsid w:val="43F233F4"/>
    <w:rsid w:val="44EE2CC9"/>
    <w:rsid w:val="454758F4"/>
    <w:rsid w:val="456A6B0F"/>
    <w:rsid w:val="45CF4855"/>
    <w:rsid w:val="48683F8B"/>
    <w:rsid w:val="49205A9F"/>
    <w:rsid w:val="49AE700C"/>
    <w:rsid w:val="49C275E8"/>
    <w:rsid w:val="4A4503CE"/>
    <w:rsid w:val="4B5819CE"/>
    <w:rsid w:val="4C7C39D6"/>
    <w:rsid w:val="4E6623B4"/>
    <w:rsid w:val="4E9961AD"/>
    <w:rsid w:val="50960488"/>
    <w:rsid w:val="50BA4B66"/>
    <w:rsid w:val="515E12DA"/>
    <w:rsid w:val="51AE0B2D"/>
    <w:rsid w:val="52CB65DD"/>
    <w:rsid w:val="534D35A7"/>
    <w:rsid w:val="54830740"/>
    <w:rsid w:val="554C3ECA"/>
    <w:rsid w:val="55F86EB3"/>
    <w:rsid w:val="5682006C"/>
    <w:rsid w:val="57FD4FD8"/>
    <w:rsid w:val="582D46AD"/>
    <w:rsid w:val="5AD36E8F"/>
    <w:rsid w:val="5AE453E0"/>
    <w:rsid w:val="5B371492"/>
    <w:rsid w:val="5B8B6871"/>
    <w:rsid w:val="5CAB3407"/>
    <w:rsid w:val="5CC93131"/>
    <w:rsid w:val="5D2B7D47"/>
    <w:rsid w:val="5E11286C"/>
    <w:rsid w:val="5EFA2699"/>
    <w:rsid w:val="5F281BE0"/>
    <w:rsid w:val="60D24AAA"/>
    <w:rsid w:val="611208DE"/>
    <w:rsid w:val="61285761"/>
    <w:rsid w:val="62A06DB8"/>
    <w:rsid w:val="64322807"/>
    <w:rsid w:val="650E70C3"/>
    <w:rsid w:val="651E0AC9"/>
    <w:rsid w:val="66FA2174"/>
    <w:rsid w:val="692A2B7E"/>
    <w:rsid w:val="6A67367F"/>
    <w:rsid w:val="6C215487"/>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305BA0"/>
    <w:rsid w:val="75342028"/>
    <w:rsid w:val="757869A6"/>
    <w:rsid w:val="75BA6839"/>
    <w:rsid w:val="768E35ED"/>
    <w:rsid w:val="76B14411"/>
    <w:rsid w:val="781D2934"/>
    <w:rsid w:val="7A235C9B"/>
    <w:rsid w:val="7AA23E98"/>
    <w:rsid w:val="7B090B45"/>
    <w:rsid w:val="7B403C7D"/>
    <w:rsid w:val="7C1F48E9"/>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autoRedefine/>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50"/>
    <w:autoRedefine/>
    <w:qFormat/>
    <w:uiPriority w:val="0"/>
    <w:pPr>
      <w:jc w:val="left"/>
    </w:pPr>
  </w:style>
  <w:style w:type="paragraph" w:styleId="5">
    <w:name w:val="Body Text"/>
    <w:basedOn w:val="1"/>
    <w:next w:val="6"/>
    <w:autoRedefine/>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6">
    <w:name w:val="Body Text 2"/>
    <w:basedOn w:val="1"/>
    <w:autoRedefine/>
    <w:unhideWhenUsed/>
    <w:qFormat/>
    <w:uiPriority w:val="0"/>
    <w:pPr>
      <w:spacing w:after="120" w:line="480" w:lineRule="auto"/>
    </w:pPr>
  </w:style>
  <w:style w:type="paragraph" w:styleId="7">
    <w:name w:val="Body Text Indent"/>
    <w:basedOn w:val="1"/>
    <w:link w:val="37"/>
    <w:autoRedefine/>
    <w:qFormat/>
    <w:uiPriority w:val="99"/>
    <w:pPr>
      <w:widowControl/>
      <w:tabs>
        <w:tab w:val="left" w:pos="0"/>
        <w:tab w:val="left" w:pos="993"/>
        <w:tab w:val="left" w:pos="1134"/>
      </w:tabs>
      <w:spacing w:line="500" w:lineRule="exact"/>
      <w:ind w:firstLine="567"/>
    </w:pPr>
    <w:rPr>
      <w:rFonts w:ascii="宋体"/>
      <w:sz w:val="28"/>
    </w:rPr>
  </w:style>
  <w:style w:type="paragraph" w:styleId="8">
    <w:name w:val="Plain Text"/>
    <w:basedOn w:val="1"/>
    <w:autoRedefine/>
    <w:qFormat/>
    <w:uiPriority w:val="0"/>
    <w:rPr>
      <w:rFonts w:ascii="宋体" w:hAnsi="Courier New" w:eastAsia="宋体" w:cs="Times New Roman"/>
      <w:szCs w:val="20"/>
    </w:rPr>
  </w:style>
  <w:style w:type="paragraph" w:styleId="9">
    <w:name w:val="Balloon Text"/>
    <w:basedOn w:val="1"/>
    <w:link w:val="29"/>
    <w:autoRedefine/>
    <w:qFormat/>
    <w:uiPriority w:val="0"/>
    <w:rPr>
      <w:sz w:val="18"/>
      <w:szCs w:val="18"/>
    </w:rPr>
  </w:style>
  <w:style w:type="paragraph" w:styleId="10">
    <w:name w:val="footer"/>
    <w:basedOn w:val="1"/>
    <w:autoRedefine/>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51"/>
    <w:autoRedefine/>
    <w:qFormat/>
    <w:uiPriority w:val="0"/>
    <w:rPr>
      <w:b/>
      <w:bCs/>
    </w:rPr>
  </w:style>
  <w:style w:type="paragraph" w:styleId="14">
    <w:name w:val="Body Text First Indent"/>
    <w:basedOn w:val="5"/>
    <w:autoRedefine/>
    <w:semiHidden/>
    <w:unhideWhenUsed/>
    <w:qFormat/>
    <w:uiPriority w:val="0"/>
    <w:pPr>
      <w:ind w:firstLine="420" w:firstLineChars="100"/>
    </w:pPr>
  </w:style>
  <w:style w:type="paragraph" w:styleId="15">
    <w:name w:val="Body Text First Indent 2"/>
    <w:basedOn w:val="7"/>
    <w:next w:val="16"/>
    <w:link w:val="38"/>
    <w:autoRedefine/>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autoRedefine/>
    <w:qFormat/>
    <w:uiPriority w:val="0"/>
    <w:pPr>
      <w:tabs>
        <w:tab w:val="left" w:pos="146"/>
      </w:tabs>
      <w:spacing w:line="360" w:lineRule="auto"/>
      <w:ind w:firstLine="482"/>
    </w:pPr>
    <w:rPr>
      <w:rFonts w:cs="仿宋_GB2312"/>
      <w:sz w:val="28"/>
      <w:szCs w:val="21"/>
    </w:rPr>
  </w:style>
  <w:style w:type="character" w:styleId="19">
    <w:name w:val="Strong"/>
    <w:basedOn w:val="18"/>
    <w:autoRedefine/>
    <w:qFormat/>
    <w:uiPriority w:val="0"/>
    <w:rPr>
      <w:b/>
    </w:rPr>
  </w:style>
  <w:style w:type="character" w:styleId="20">
    <w:name w:val="page number"/>
    <w:basedOn w:val="18"/>
    <w:autoRedefine/>
    <w:qFormat/>
    <w:uiPriority w:val="0"/>
    <w:rPr>
      <w:rFonts w:ascii="Times New Roman" w:hAnsi="Times New Roman" w:eastAsia="新宋体" w:cs="Times New Roman"/>
    </w:rPr>
  </w:style>
  <w:style w:type="character" w:styleId="21">
    <w:name w:val="FollowedHyperlink"/>
    <w:basedOn w:val="18"/>
    <w:autoRedefine/>
    <w:unhideWhenUsed/>
    <w:qFormat/>
    <w:uiPriority w:val="99"/>
    <w:rPr>
      <w:color w:val="954F72"/>
      <w:u w:val="single"/>
    </w:rPr>
  </w:style>
  <w:style w:type="character" w:styleId="22">
    <w:name w:val="Hyperlink"/>
    <w:basedOn w:val="18"/>
    <w:autoRedefine/>
    <w:unhideWhenUsed/>
    <w:qFormat/>
    <w:uiPriority w:val="99"/>
    <w:rPr>
      <w:color w:val="0563C1"/>
      <w:u w:val="single"/>
    </w:rPr>
  </w:style>
  <w:style w:type="character" w:styleId="23">
    <w:name w:val="annotation reference"/>
    <w:basedOn w:val="18"/>
    <w:autoRedefine/>
    <w:qFormat/>
    <w:uiPriority w:val="0"/>
    <w:rPr>
      <w:sz w:val="21"/>
      <w:szCs w:val="21"/>
    </w:rPr>
  </w:style>
  <w:style w:type="paragraph" w:customStyle="1" w:styleId="24">
    <w:name w:val="正式文"/>
    <w:basedOn w:val="1"/>
    <w:autoRedefine/>
    <w:qFormat/>
    <w:uiPriority w:val="0"/>
    <w:pPr>
      <w:autoSpaceDE w:val="0"/>
      <w:autoSpaceDN w:val="0"/>
      <w:adjustRightInd w:val="0"/>
      <w:spacing w:line="440" w:lineRule="exact"/>
      <w:jc w:val="left"/>
    </w:pPr>
    <w:rPr>
      <w:sz w:val="24"/>
      <w:szCs w:val="18"/>
    </w:rPr>
  </w:style>
  <w:style w:type="character" w:customStyle="1" w:styleId="25">
    <w:name w:val="font41"/>
    <w:basedOn w:val="18"/>
    <w:autoRedefine/>
    <w:qFormat/>
    <w:uiPriority w:val="0"/>
    <w:rPr>
      <w:rFonts w:hint="eastAsia" w:ascii="宋体" w:hAnsi="宋体" w:eastAsia="宋体" w:cs="宋体"/>
      <w:b/>
      <w:color w:val="000000"/>
      <w:sz w:val="28"/>
      <w:szCs w:val="28"/>
      <w:u w:val="single"/>
    </w:rPr>
  </w:style>
  <w:style w:type="character" w:customStyle="1" w:styleId="26">
    <w:name w:val="font11"/>
    <w:basedOn w:val="18"/>
    <w:autoRedefine/>
    <w:qFormat/>
    <w:uiPriority w:val="0"/>
    <w:rPr>
      <w:rFonts w:hint="eastAsia" w:ascii="宋体" w:hAnsi="宋体" w:eastAsia="宋体" w:cs="宋体"/>
      <w:b/>
      <w:color w:val="000000"/>
      <w:sz w:val="28"/>
      <w:szCs w:val="28"/>
      <w:u w:val="none"/>
    </w:rPr>
  </w:style>
  <w:style w:type="character" w:customStyle="1" w:styleId="27">
    <w:name w:val="font01"/>
    <w:basedOn w:val="18"/>
    <w:autoRedefine/>
    <w:qFormat/>
    <w:uiPriority w:val="0"/>
    <w:rPr>
      <w:rFonts w:hint="eastAsia" w:ascii="宋体" w:hAnsi="宋体" w:eastAsia="宋体" w:cs="宋体"/>
      <w:b/>
      <w:color w:val="000000"/>
      <w:sz w:val="22"/>
      <w:szCs w:val="22"/>
      <w:u w:val="single"/>
    </w:rPr>
  </w:style>
  <w:style w:type="character" w:customStyle="1" w:styleId="28">
    <w:name w:val="font71"/>
    <w:basedOn w:val="18"/>
    <w:autoRedefine/>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9"/>
    <w:autoRedefine/>
    <w:qFormat/>
    <w:uiPriority w:val="0"/>
    <w:rPr>
      <w:rFonts w:eastAsia="宋体" w:cs="宋体"/>
      <w:kern w:val="2"/>
      <w:sz w:val="18"/>
      <w:szCs w:val="18"/>
    </w:rPr>
  </w:style>
  <w:style w:type="paragraph" w:customStyle="1" w:styleId="30">
    <w:name w:val="&quot;&quot;列出段落1&quot;&quot;"/>
    <w:basedOn w:val="1"/>
    <w:autoRedefine/>
    <w:qFormat/>
    <w:uiPriority w:val="0"/>
    <w:pPr>
      <w:ind w:firstLine="200" w:firstLineChars="200"/>
    </w:pPr>
    <w:rPr>
      <w:rFonts w:eastAsia="新宋体" w:cs="Times New Roman"/>
    </w:rPr>
  </w:style>
  <w:style w:type="paragraph" w:customStyle="1" w:styleId="31">
    <w:name w:val="&quot;&quot;列出段落1&quot;&quot;1"/>
    <w:basedOn w:val="1"/>
    <w:autoRedefine/>
    <w:qFormat/>
    <w:uiPriority w:val="0"/>
    <w:pPr>
      <w:ind w:firstLine="200" w:firstLineChars="200"/>
    </w:pPr>
    <w:rPr>
      <w:rFonts w:eastAsia="新宋体" w:cs="Times New Roman"/>
    </w:rPr>
  </w:style>
  <w:style w:type="paragraph" w:customStyle="1" w:styleId="32">
    <w:name w:val="&quot;&quot;列出段落1&quot;&quot;2"/>
    <w:basedOn w:val="1"/>
    <w:autoRedefine/>
    <w:qFormat/>
    <w:uiPriority w:val="0"/>
    <w:pPr>
      <w:ind w:firstLine="200" w:firstLineChars="200"/>
    </w:pPr>
    <w:rPr>
      <w:rFonts w:eastAsia="新宋体" w:cs="Times New Roman"/>
    </w:rPr>
  </w:style>
  <w:style w:type="paragraph" w:customStyle="1" w:styleId="33">
    <w:name w:val="&quot;&quot;列出段落1&quot;&quot;3"/>
    <w:basedOn w:val="1"/>
    <w:autoRedefine/>
    <w:qFormat/>
    <w:uiPriority w:val="0"/>
    <w:pPr>
      <w:ind w:firstLine="200" w:firstLineChars="200"/>
    </w:pPr>
    <w:rPr>
      <w:rFonts w:eastAsia="新宋体" w:cs="Times New Roman"/>
    </w:rPr>
  </w:style>
  <w:style w:type="paragraph" w:customStyle="1" w:styleId="34">
    <w:name w:val="&quot;列出段落1&quot;"/>
    <w:basedOn w:val="1"/>
    <w:autoRedefine/>
    <w:qFormat/>
    <w:uiPriority w:val="0"/>
    <w:pPr>
      <w:ind w:firstLine="200" w:firstLineChars="200"/>
    </w:pPr>
  </w:style>
  <w:style w:type="paragraph" w:customStyle="1" w:styleId="35">
    <w:name w:val="列出段落1"/>
    <w:basedOn w:val="1"/>
    <w:autoRedefine/>
    <w:qFormat/>
    <w:uiPriority w:val="0"/>
    <w:pPr>
      <w:ind w:firstLine="200" w:firstLineChars="200"/>
    </w:pPr>
    <w:rPr>
      <w:rFonts w:eastAsia="新宋体" w:cs="Times New Roman"/>
    </w:rPr>
  </w:style>
  <w:style w:type="paragraph" w:customStyle="1" w:styleId="36">
    <w:name w:val="Table Paragraph"/>
    <w:basedOn w:val="1"/>
    <w:autoRedefine/>
    <w:qFormat/>
    <w:uiPriority w:val="1"/>
    <w:pPr>
      <w:spacing w:before="65"/>
      <w:ind w:left="25"/>
    </w:pPr>
    <w:rPr>
      <w:rFonts w:ascii="宋体" w:hAnsi="宋体"/>
      <w:lang w:val="zh-CN" w:bidi="zh-CN"/>
    </w:rPr>
  </w:style>
  <w:style w:type="character" w:customStyle="1" w:styleId="37">
    <w:name w:val="正文文本缩进 字符"/>
    <w:basedOn w:val="18"/>
    <w:link w:val="7"/>
    <w:autoRedefine/>
    <w:qFormat/>
    <w:uiPriority w:val="99"/>
    <w:rPr>
      <w:rFonts w:ascii="宋体" w:cs="宋体"/>
      <w:kern w:val="2"/>
      <w:sz w:val="28"/>
      <w:szCs w:val="24"/>
    </w:rPr>
  </w:style>
  <w:style w:type="character" w:customStyle="1" w:styleId="38">
    <w:name w:val="正文文本首行缩进 2 字符"/>
    <w:basedOn w:val="37"/>
    <w:link w:val="15"/>
    <w:autoRedefine/>
    <w:qFormat/>
    <w:uiPriority w:val="99"/>
    <w:rPr>
      <w:rFonts w:ascii="宋体" w:cs="宋体"/>
      <w:kern w:val="2"/>
      <w:sz w:val="28"/>
      <w:szCs w:val="24"/>
    </w:rPr>
  </w:style>
  <w:style w:type="paragraph" w:customStyle="1" w:styleId="39">
    <w:name w:val="msonormal"/>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autoRedefine/>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autoRedefine/>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4"/>
    <w:autoRedefine/>
    <w:qFormat/>
    <w:uiPriority w:val="0"/>
    <w:rPr>
      <w:rFonts w:cs="宋体"/>
      <w:kern w:val="2"/>
      <w:sz w:val="21"/>
      <w:szCs w:val="24"/>
    </w:rPr>
  </w:style>
  <w:style w:type="character" w:customStyle="1" w:styleId="51">
    <w:name w:val="批注主题 字符"/>
    <w:basedOn w:val="50"/>
    <w:link w:val="13"/>
    <w:autoRedefine/>
    <w:qFormat/>
    <w:uiPriority w:val="0"/>
    <w:rPr>
      <w:rFonts w:cs="宋体"/>
      <w:b/>
      <w:bCs/>
      <w:kern w:val="2"/>
      <w:sz w:val="21"/>
      <w:szCs w:val="24"/>
    </w:rPr>
  </w:style>
  <w:style w:type="paragraph" w:customStyle="1" w:styleId="52">
    <w:name w:val="修订1"/>
    <w:autoRedefine/>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3"/>
    <w:autoRedefine/>
    <w:qFormat/>
    <w:uiPriority w:val="0"/>
    <w:rPr>
      <w:rFonts w:ascii="Arial" w:hAnsi="Arial" w:eastAsia="黑体"/>
      <w:b/>
      <w:bCs/>
      <w:kern w:val="2"/>
      <w:sz w:val="32"/>
      <w:szCs w:val="32"/>
    </w:rPr>
  </w:style>
  <w:style w:type="paragraph" w:customStyle="1" w:styleId="54">
    <w:name w:val="cucd-0"/>
    <w:autoRedefine/>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5705</Words>
  <Characters>6119</Characters>
  <Lines>70</Lines>
  <Paragraphs>19</Paragraphs>
  <TotalTime>1</TotalTime>
  <ScaleCrop>false</ScaleCrop>
  <LinksUpToDate>false</LinksUpToDate>
  <CharactersWithSpaces>6435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江宁宁！！！！</cp:lastModifiedBy>
  <cp:lastPrinted>2017-05-26T06:04:00Z</cp:lastPrinted>
  <dcterms:modified xsi:type="dcterms:W3CDTF">2024-05-24T10:05:05Z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EFB0006DD36A4FA0A98EECC478752765_13</vt:lpwstr>
  </property>
</Properties>
</file>