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613C7C">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w:t>
      </w:r>
    </w:p>
    <w:p w14:paraId="58B2D259">
      <w:pPr>
        <w:jc w:val="center"/>
        <w:rPr>
          <w:rFonts w:hint="eastAsia" w:ascii="仿宋" w:hAnsi="仿宋" w:eastAsia="仿宋" w:cs="仿宋"/>
          <w:b/>
          <w:bCs/>
          <w:color w:val="auto"/>
          <w:kern w:val="0"/>
          <w:sz w:val="56"/>
          <w:szCs w:val="56"/>
          <w:lang w:val="zh-CN"/>
        </w:rPr>
      </w:pPr>
    </w:p>
    <w:p w14:paraId="687B51D7">
      <w:pPr>
        <w:jc w:val="center"/>
        <w:rPr>
          <w:rFonts w:hint="eastAsia" w:ascii="仿宋" w:hAnsi="仿宋" w:eastAsia="仿宋" w:cs="仿宋"/>
          <w:b/>
          <w:bCs/>
          <w:color w:val="auto"/>
          <w:kern w:val="0"/>
          <w:sz w:val="56"/>
          <w:szCs w:val="56"/>
          <w:lang w:val="zh-CN"/>
        </w:rPr>
      </w:pPr>
    </w:p>
    <w:p w14:paraId="162AC392">
      <w:pPr>
        <w:adjustRightInd w:val="0"/>
        <w:snapToGrid w:val="0"/>
        <w:spacing w:line="300" w:lineRule="auto"/>
        <w:jc w:val="center"/>
        <w:rPr>
          <w:rFonts w:ascii="仿宋" w:hAnsi="仿宋" w:eastAsia="仿宋" w:cs="仿宋"/>
          <w:b/>
          <w:bCs/>
          <w:kern w:val="0"/>
          <w:sz w:val="22"/>
          <w:szCs w:val="22"/>
          <w:lang w:val="zh-CN"/>
        </w:rPr>
      </w:pPr>
      <w:r>
        <w:rPr>
          <w:rFonts w:hint="eastAsia" w:ascii="仿宋" w:hAnsi="仿宋" w:eastAsia="仿宋"/>
          <w:b/>
          <w:sz w:val="64"/>
          <w:szCs w:val="64"/>
        </w:rPr>
        <w:t>德化生活垃圾发电项目</w:t>
      </w:r>
    </w:p>
    <w:p w14:paraId="65D71376">
      <w:pPr>
        <w:spacing w:line="1440" w:lineRule="exact"/>
        <w:ind w:firstLine="1928" w:firstLineChars="300"/>
        <w:rPr>
          <w:rFonts w:hint="eastAsia" w:ascii="仿宋" w:hAnsi="仿宋" w:eastAsia="仿宋" w:cs="仿宋"/>
          <w:b/>
          <w:sz w:val="64"/>
          <w:szCs w:val="64"/>
          <w:u w:val="single"/>
          <w:lang w:val="en-US" w:eastAsia="zh-CN"/>
        </w:rPr>
      </w:pPr>
      <w:r>
        <w:rPr>
          <w:rFonts w:hint="eastAsia" w:ascii="仿宋" w:hAnsi="仿宋" w:eastAsia="仿宋" w:cs="仿宋"/>
          <w:b/>
          <w:sz w:val="64"/>
          <w:szCs w:val="64"/>
          <w:u w:val="single"/>
          <w:lang w:val="en-US" w:eastAsia="zh-CN"/>
        </w:rPr>
        <w:t>一次风电动组合风门</w:t>
      </w:r>
    </w:p>
    <w:p w14:paraId="0FD6F891">
      <w:pPr>
        <w:spacing w:line="1440" w:lineRule="exact"/>
        <w:ind w:left="-4" w:firstLine="3213" w:firstLineChars="500"/>
        <w:rPr>
          <w:rFonts w:ascii="仿宋" w:hAnsi="仿宋" w:eastAsia="仿宋" w:cs="仿宋"/>
          <w:b/>
          <w:sz w:val="64"/>
          <w:szCs w:val="64"/>
        </w:rPr>
      </w:pPr>
      <w:r>
        <w:rPr>
          <w:rFonts w:hint="eastAsia" w:ascii="仿宋" w:hAnsi="仿宋" w:eastAsia="仿宋" w:cs="仿宋"/>
          <w:b/>
          <w:sz w:val="64"/>
          <w:szCs w:val="64"/>
        </w:rPr>
        <w:t>采购合同</w:t>
      </w:r>
    </w:p>
    <w:p w14:paraId="6EB9BB70">
      <w:pPr>
        <w:rPr>
          <w:rFonts w:hint="eastAsia" w:ascii="仿宋" w:hAnsi="仿宋" w:eastAsia="仿宋" w:cs="仿宋"/>
          <w:color w:val="auto"/>
          <w:sz w:val="36"/>
          <w:szCs w:val="36"/>
        </w:rPr>
      </w:pPr>
    </w:p>
    <w:p w14:paraId="56F268C6">
      <w:pPr>
        <w:rPr>
          <w:rFonts w:hint="eastAsia" w:ascii="仿宋" w:hAnsi="仿宋" w:eastAsia="仿宋" w:cs="仿宋"/>
          <w:color w:val="auto"/>
          <w:sz w:val="36"/>
          <w:szCs w:val="36"/>
        </w:rPr>
      </w:pPr>
    </w:p>
    <w:p w14:paraId="46CA3E05">
      <w:pPr>
        <w:rPr>
          <w:rFonts w:hint="eastAsia" w:ascii="仿宋" w:hAnsi="仿宋" w:eastAsia="仿宋" w:cs="仿宋"/>
          <w:color w:val="auto"/>
          <w:sz w:val="22"/>
          <w:szCs w:val="22"/>
        </w:rPr>
      </w:pPr>
    </w:p>
    <w:p w14:paraId="70A1DBAA">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14:paraId="521BCE98">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bookmarkStart w:id="0" w:name="OLE_LINK18"/>
      <w:r>
        <w:rPr>
          <w:rFonts w:hint="eastAsia" w:ascii="仿宋" w:hAnsi="仿宋" w:eastAsia="仿宋" w:cs="仿宋"/>
          <w:color w:val="auto"/>
          <w:sz w:val="28"/>
          <w:szCs w:val="28"/>
          <w:u w:val="single"/>
          <w:lang w:val="en-US" w:eastAsia="zh-CN"/>
        </w:rPr>
        <w:t xml:space="preserve">                       </w:t>
      </w:r>
      <w:bookmarkEnd w:id="0"/>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p>
    <w:p w14:paraId="653F67E2">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14:paraId="30123920">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14:paraId="18458B98">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bookmarkStart w:id="1" w:name="OLE_LINK1"/>
      <w:r>
        <w:rPr>
          <w:rFonts w:hint="eastAsia" w:ascii="仿宋" w:hAnsi="仿宋" w:eastAsia="仿宋" w:cs="仿宋"/>
          <w:sz w:val="28"/>
          <w:szCs w:val="28"/>
          <w:u w:val="single"/>
          <w:lang w:val="en-US" w:eastAsia="zh-CN"/>
        </w:rPr>
        <w:t>一次风电动组</w:t>
      </w:r>
      <w:bookmarkStart w:id="2" w:name="OLE_LINK19"/>
      <w:r>
        <w:rPr>
          <w:rFonts w:hint="eastAsia" w:ascii="仿宋" w:hAnsi="仿宋" w:eastAsia="仿宋" w:cs="仿宋"/>
          <w:sz w:val="28"/>
          <w:szCs w:val="28"/>
          <w:u w:val="single"/>
          <w:lang w:val="en-US" w:eastAsia="zh-CN"/>
        </w:rPr>
        <w:t>合风门</w:t>
      </w:r>
      <w:bookmarkEnd w:id="1"/>
      <w:bookmarkEnd w:id="2"/>
      <w:r>
        <w:rPr>
          <w:rFonts w:hint="eastAsia" w:ascii="仿宋" w:hAnsi="仿宋" w:eastAsia="仿宋" w:cs="仿宋"/>
          <w:color w:val="auto"/>
          <w:sz w:val="28"/>
          <w:szCs w:val="28"/>
          <w:u w:val="single"/>
        </w:rPr>
        <w:t xml:space="preserve">) </w:t>
      </w:r>
    </w:p>
    <w:p w14:paraId="21A400E5">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p>
    <w:p w14:paraId="13DB228A">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2024</w:t>
      </w:r>
      <w:r>
        <w:rPr>
          <w:rFonts w:hint="eastAsia" w:ascii="仿宋" w:hAnsi="仿宋" w:eastAsia="仿宋" w:cs="仿宋"/>
          <w:color w:val="auto"/>
          <w:sz w:val="28"/>
          <w:szCs w:val="28"/>
          <w:u w:val="single"/>
        </w:rPr>
        <w:t xml:space="preserve"> 年</w:t>
      </w:r>
      <w:r>
        <w:rPr>
          <w:rFonts w:hint="eastAsia" w:ascii="仿宋" w:hAnsi="仿宋" w:eastAsia="仿宋" w:cs="仿宋"/>
          <w:color w:val="auto"/>
          <w:sz w:val="28"/>
          <w:szCs w:val="28"/>
          <w:u w:val="single"/>
          <w:lang w:val="en-US" w:eastAsia="zh-CN"/>
        </w:rPr>
        <w:t xml:space="preserve"> 9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日</w:t>
      </w:r>
    </w:p>
    <w:p w14:paraId="4AFE682F">
      <w:pPr>
        <w:ind w:firstLine="1680" w:firstLineChars="600"/>
        <w:jc w:val="left"/>
        <w:rPr>
          <w:rFonts w:ascii="宋体"/>
          <w:b/>
          <w:color w:val="auto"/>
          <w:sz w:val="36"/>
        </w:rPr>
        <w:sectPr>
          <w:headerReference r:id="rId3" w:type="default"/>
          <w:footerReference r:id="rId4" w:type="default"/>
          <w:footerReference r:id="rId5" w:type="even"/>
          <w:pgSz w:w="11906" w:h="16838"/>
          <w:pgMar w:top="1440" w:right="1134" w:bottom="1440" w:left="1559" w:header="851" w:footer="992" w:gutter="0"/>
          <w:pgBorders>
            <w:top w:val="none" w:sz="0" w:space="0"/>
            <w:left w:val="none" w:sz="0" w:space="0"/>
            <w:bottom w:val="none" w:sz="0" w:space="0"/>
            <w:right w:val="none" w:sz="0" w:space="0"/>
          </w:pgBorders>
          <w:pgNumType w:start="1"/>
          <w:cols w:space="720" w:num="1"/>
          <w:docGrid w:type="lines" w:linePitch="312" w:charSpace="0"/>
        </w:sectPr>
      </w:pPr>
      <w:r>
        <w:rPr>
          <w:rFonts w:hint="eastAsia" w:ascii="仿宋" w:hAnsi="仿宋" w:eastAsia="仿宋" w:cs="仿宋"/>
          <w:color w:val="auto"/>
          <w:sz w:val="28"/>
          <w:szCs w:val="28"/>
        </w:rPr>
        <w:t>签订地点：</w:t>
      </w:r>
      <w:r>
        <w:rPr>
          <w:rFonts w:hint="eastAsia" w:ascii="仿宋" w:hAnsi="仿宋" w:eastAsia="仿宋"/>
          <w:sz w:val="28"/>
          <w:szCs w:val="28"/>
          <w:u w:val="single"/>
        </w:rPr>
        <w:t>福建省福州市鼓楼区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p>
    <w:p w14:paraId="1B5B7E55">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14:paraId="3E83D857">
      <w:pPr>
        <w:spacing w:line="480" w:lineRule="exact"/>
        <w:jc w:val="left"/>
        <w:rPr>
          <w:rFonts w:hint="default" w:ascii="仿宋" w:hAnsi="仿宋" w:eastAsia="仿宋" w:cs="仿宋"/>
          <w:b/>
          <w:bCs/>
          <w:color w:val="auto"/>
          <w:sz w:val="28"/>
          <w:szCs w:val="28"/>
          <w:lang w:val="en-US" w:eastAsia="zh-CN"/>
        </w:rPr>
      </w:pPr>
      <w:r>
        <w:rPr>
          <w:rFonts w:hint="eastAsia" w:ascii="仿宋" w:hAnsi="仿宋" w:eastAsia="仿宋" w:cs="仿宋"/>
          <w:b/>
          <w:bCs/>
          <w:color w:val="auto"/>
          <w:sz w:val="28"/>
          <w:szCs w:val="28"/>
        </w:rPr>
        <w:t>乙方：</w:t>
      </w:r>
      <w:bookmarkStart w:id="19" w:name="_GoBack"/>
      <w:bookmarkEnd w:id="19"/>
    </w:p>
    <w:p w14:paraId="0DD52DC9">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w:t>
      </w:r>
      <w:bookmarkStart w:id="3" w:name="OLE_LINK3"/>
      <w:r>
        <w:rPr>
          <w:rFonts w:hint="eastAsia" w:ascii="仿宋" w:hAnsi="仿宋" w:eastAsia="仿宋" w:cs="仿宋"/>
          <w:color w:val="auto"/>
          <w:sz w:val="22"/>
          <w:szCs w:val="22"/>
        </w:rPr>
        <w:t>向乙</w:t>
      </w:r>
      <w:bookmarkEnd w:id="3"/>
      <w:r>
        <w:rPr>
          <w:rFonts w:hint="eastAsia" w:ascii="仿宋" w:hAnsi="仿宋" w:eastAsia="仿宋" w:cs="仿宋"/>
          <w:color w:val="auto"/>
          <w:sz w:val="22"/>
          <w:szCs w:val="22"/>
        </w:rPr>
        <w:t>方采购</w:t>
      </w:r>
      <w:bookmarkStart w:id="4" w:name="OLE_LINK2"/>
      <w:r>
        <w:rPr>
          <w:rFonts w:hint="eastAsia" w:ascii="仿宋" w:hAnsi="仿宋" w:eastAsia="仿宋" w:cs="仿宋"/>
          <w:sz w:val="22"/>
          <w:szCs w:val="22"/>
          <w:u w:val="single"/>
          <w:lang w:val="en-US" w:eastAsia="zh-CN"/>
        </w:rPr>
        <w:t>一次风电动组合风门</w:t>
      </w:r>
      <w:bookmarkEnd w:id="4"/>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w:t>
      </w:r>
      <w:bookmarkStart w:id="5" w:name="OLE_LINK5"/>
      <w:r>
        <w:rPr>
          <w:rFonts w:hint="eastAsia" w:ascii="仿宋" w:hAnsi="仿宋" w:eastAsia="仿宋" w:cs="仿宋"/>
          <w:sz w:val="22"/>
          <w:szCs w:val="22"/>
          <w:u w:val="single"/>
          <w:lang w:val="en-US" w:eastAsia="zh-CN"/>
        </w:rPr>
        <w:t>一次风电动组合风门</w:t>
      </w:r>
      <w:bookmarkEnd w:id="5"/>
      <w:r>
        <w:rPr>
          <w:rFonts w:hint="eastAsia" w:ascii="仿宋" w:hAnsi="仿宋" w:eastAsia="仿宋" w:cs="仿宋"/>
          <w:color w:val="auto"/>
          <w:sz w:val="22"/>
          <w:szCs w:val="22"/>
          <w:u w:val="single"/>
          <w:lang w:eastAsia="zh-CN"/>
        </w:rPr>
        <w:t>)</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14:paraId="10C0C40C">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14:paraId="20A9629B">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bookmarkStart w:id="6" w:name="OLE_LINK4"/>
      <w:r>
        <w:rPr>
          <w:rFonts w:hint="eastAsia" w:ascii="仿宋" w:hAnsi="仿宋" w:eastAsia="仿宋" w:cs="仿宋"/>
          <w:sz w:val="22"/>
          <w:szCs w:val="22"/>
          <w:u w:val="none"/>
          <w:lang w:val="en-US" w:eastAsia="zh-CN"/>
        </w:rPr>
        <w:t>一次风电动组合风门</w:t>
      </w:r>
      <w:bookmarkEnd w:id="6"/>
      <w:r>
        <w:rPr>
          <w:rFonts w:hint="eastAsia" w:ascii="仿宋" w:hAnsi="仿宋" w:eastAsia="仿宋" w:cs="仿宋"/>
          <w:color w:val="auto"/>
          <w:sz w:val="22"/>
          <w:szCs w:val="22"/>
        </w:rPr>
        <w:t>技术规范书》</w:t>
      </w:r>
      <w:r>
        <w:rPr>
          <w:rFonts w:hint="eastAsia" w:ascii="仿宋" w:hAnsi="仿宋" w:eastAsia="仿宋" w:cs="仿宋"/>
          <w:color w:val="auto"/>
          <w:sz w:val="22"/>
          <w:szCs w:val="22"/>
          <w:highlight w:val="none"/>
          <w:u w:val="none"/>
          <w:lang w:eastAsia="zh-CN"/>
        </w:rPr>
        <w:t>。</w:t>
      </w:r>
    </w:p>
    <w:p w14:paraId="285A764B">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eastAsia="仿宋"/>
          <w:sz w:val="22"/>
          <w:u w:val="single"/>
        </w:rPr>
        <w:t>¥</w:t>
      </w:r>
      <w:r>
        <w:rPr>
          <w:rFonts w:hint="eastAsia" w:ascii="仿宋" w:hAnsi="仿宋" w:eastAsia="仿宋"/>
          <w:sz w:val="22"/>
          <w:u w:val="single"/>
        </w:rPr>
        <w:t>:</w:t>
      </w:r>
      <w:r>
        <w:rPr>
          <w:rFonts w:hint="eastAsia" w:ascii="仿宋" w:hAnsi="仿宋" w:eastAsia="仿宋"/>
          <w:sz w:val="22"/>
          <w:u w:val="single"/>
          <w:lang w:val="en-US" w:eastAsia="zh-CN"/>
        </w:rPr>
        <w:t xml:space="preserve">   </w:t>
      </w:r>
      <w:r>
        <w:rPr>
          <w:rFonts w:hint="eastAsia" w:ascii="仿宋" w:hAnsi="仿宋" w:eastAsia="仿宋" w:cs="仿宋"/>
          <w:color w:val="auto"/>
          <w:sz w:val="22"/>
          <w:szCs w:val="22"/>
          <w:u w:val="single"/>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大写：   元整</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eastAsia="仿宋"/>
          <w:sz w:val="22"/>
          <w:u w:val="single"/>
        </w:rPr>
        <w:t>¥</w:t>
      </w:r>
      <w:r>
        <w:rPr>
          <w:rFonts w:hint="eastAsia" w:ascii="仿宋" w:hAnsi="仿宋" w:eastAsia="仿宋"/>
          <w:sz w:val="22"/>
          <w:u w:val="single"/>
        </w:rPr>
        <w:t>:</w:t>
      </w:r>
      <w:r>
        <w:rPr>
          <w:rFonts w:hint="eastAsia" w:ascii="仿宋" w:hAnsi="仿宋" w:eastAsia="仿宋"/>
          <w:sz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eastAsia="仿宋"/>
          <w:sz w:val="22"/>
          <w:u w:val="single"/>
        </w:rPr>
        <w:t>¥</w:t>
      </w:r>
      <w:r>
        <w:rPr>
          <w:rFonts w:hint="eastAsia" w:ascii="仿宋" w:hAnsi="仿宋" w:eastAsia="仿宋"/>
          <w:sz w:val="22"/>
          <w:u w:val="single"/>
        </w:rPr>
        <w:t>:</w:t>
      </w:r>
      <w:r>
        <w:rPr>
          <w:rFonts w:hint="eastAsia" w:ascii="仿宋" w:hAnsi="仿宋" w:eastAsia="仿宋"/>
          <w:sz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lang w:val="en-US" w:eastAsia="zh-CN"/>
        </w:rPr>
        <w:t>13</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14:paraId="650279A8">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14:paraId="03CDD0D8">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1.4本系统设备清单中，按照业主方及甲方要求及本系统技术规范及技术协议书的要求，如需卖方补供设备清单中未列明的材料、部件等，卖方应按照要求补供，费用视为包含在总价中，不另行增加。</w:t>
      </w:r>
    </w:p>
    <w:p w14:paraId="1333B154">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14:paraId="16DD9A14">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bookmarkStart w:id="7" w:name="OLE_LINK6"/>
      <w:r>
        <w:rPr>
          <w:rFonts w:hint="eastAsia" w:ascii="仿宋" w:hAnsi="仿宋" w:eastAsia="仿宋" w:cs="仿宋"/>
          <w:sz w:val="22"/>
          <w:szCs w:val="22"/>
          <w:u w:val="none"/>
          <w:lang w:val="en-US" w:eastAsia="zh-CN"/>
        </w:rPr>
        <w:t>一次风电动组合风门</w:t>
      </w:r>
      <w:bookmarkEnd w:id="7"/>
      <w:r>
        <w:rPr>
          <w:rFonts w:hint="eastAsia" w:ascii="仿宋" w:hAnsi="仿宋" w:eastAsia="仿宋" w:cs="仿宋"/>
          <w:color w:val="auto"/>
          <w:sz w:val="22"/>
          <w:szCs w:val="22"/>
        </w:rPr>
        <w:t>规范书》</w:t>
      </w:r>
      <w:r>
        <w:rPr>
          <w:rFonts w:hint="eastAsia" w:ascii="仿宋" w:hAnsi="仿宋" w:eastAsia="仿宋" w:cs="仿宋"/>
          <w:color w:val="auto"/>
          <w:sz w:val="22"/>
          <w:szCs w:val="22"/>
          <w:lang w:val="en-US" w:eastAsia="zh-CN"/>
        </w:rPr>
        <w:t>和</w:t>
      </w:r>
      <w:r>
        <w:rPr>
          <w:rFonts w:hint="eastAsia" w:ascii="仿宋" w:hAnsi="仿宋" w:eastAsia="仿宋" w:cs="仿宋"/>
          <w:color w:val="auto"/>
          <w:sz w:val="22"/>
          <w:szCs w:val="22"/>
        </w:rPr>
        <w:t>《</w:t>
      </w:r>
      <w:r>
        <w:rPr>
          <w:rFonts w:hint="eastAsia" w:ascii="仿宋" w:hAnsi="仿宋" w:eastAsia="仿宋" w:cs="仿宋"/>
          <w:sz w:val="22"/>
          <w:szCs w:val="22"/>
          <w:u w:val="none"/>
          <w:lang w:val="en-US" w:eastAsia="zh-CN"/>
        </w:rPr>
        <w:t>一次风电动组合风门</w:t>
      </w:r>
      <w:r>
        <w:rPr>
          <w:rFonts w:hint="eastAsia" w:ascii="仿宋" w:hAnsi="仿宋" w:eastAsia="仿宋" w:cs="仿宋"/>
          <w:color w:val="auto"/>
          <w:sz w:val="22"/>
          <w:szCs w:val="22"/>
        </w:rPr>
        <w:t>技术</w:t>
      </w:r>
      <w:r>
        <w:rPr>
          <w:rFonts w:hint="eastAsia" w:ascii="仿宋" w:hAnsi="仿宋" w:eastAsia="仿宋" w:cs="仿宋"/>
          <w:color w:val="auto"/>
          <w:sz w:val="22"/>
          <w:szCs w:val="22"/>
          <w:lang w:val="en-US" w:eastAsia="zh-CN"/>
        </w:rPr>
        <w:t>协议</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14:paraId="341EBEF8">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14:paraId="4ED80F69">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14:paraId="2787F426">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14:paraId="34B0AE09">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14:paraId="21502A9F">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14:paraId="5BB95CA9">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双方合同签订后，</w:t>
      </w:r>
      <w:bookmarkStart w:id="8" w:name="OLE_LINK20"/>
      <w:r>
        <w:rPr>
          <w:rFonts w:hint="eastAsia" w:ascii="仿宋" w:hAnsi="仿宋" w:eastAsia="仿宋" w:cs="仿宋"/>
          <w:sz w:val="22"/>
          <w:szCs w:val="22"/>
          <w:u w:val="single"/>
          <w:lang w:val="en-US" w:eastAsia="zh-CN"/>
        </w:rPr>
        <w:t xml:space="preserve">   </w:t>
      </w:r>
      <w:bookmarkEnd w:id="8"/>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14:paraId="1CBA13BF">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w:t>
      </w:r>
      <w:r>
        <w:rPr>
          <w:rFonts w:hint="eastAsia" w:ascii="仿宋" w:hAnsi="仿宋" w:eastAsia="仿宋" w:cs="仿宋"/>
          <w:sz w:val="22"/>
          <w:szCs w:val="22"/>
          <w:u w:val="none"/>
          <w:lang w:val="en-US" w:eastAsia="zh-CN"/>
        </w:rPr>
        <w:t>一次风电动组合风门</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14:paraId="5DBFB061">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w:t>
      </w:r>
      <w:bookmarkStart w:id="9" w:name="OLE_LINK8"/>
      <w:r>
        <w:rPr>
          <w:rFonts w:hint="eastAsia" w:ascii="仿宋" w:hAnsi="仿宋" w:eastAsia="仿宋" w:cs="仿宋"/>
          <w:b/>
          <w:bCs/>
          <w:sz w:val="22"/>
          <w:szCs w:val="22"/>
          <w:u w:val="none"/>
          <w:lang w:val="en-US" w:eastAsia="zh-CN"/>
        </w:rPr>
        <w:t>一次风电动组合风门</w:t>
      </w:r>
      <w:bookmarkEnd w:id="9"/>
      <w:r>
        <w:rPr>
          <w:rFonts w:hint="eastAsia" w:ascii="仿宋" w:hAnsi="仿宋" w:eastAsia="仿宋" w:cs="仿宋"/>
          <w:b/>
          <w:bCs/>
          <w:color w:val="auto"/>
          <w:sz w:val="22"/>
          <w:szCs w:val="22"/>
          <w:highlight w:val="none"/>
          <w:lang w:val="en-US" w:eastAsia="zh-CN"/>
        </w:rPr>
        <w:t>技术规范书》《</w:t>
      </w:r>
      <w:bookmarkStart w:id="10" w:name="OLE_LINK7"/>
      <w:r>
        <w:rPr>
          <w:rFonts w:hint="eastAsia" w:ascii="仿宋" w:hAnsi="仿宋" w:eastAsia="仿宋" w:cs="仿宋"/>
          <w:b/>
          <w:bCs/>
          <w:sz w:val="22"/>
          <w:szCs w:val="22"/>
          <w:u w:val="none"/>
          <w:lang w:val="en-US" w:eastAsia="zh-CN"/>
        </w:rPr>
        <w:t>一次风电动组合风门</w:t>
      </w:r>
      <w:bookmarkEnd w:id="10"/>
      <w:r>
        <w:rPr>
          <w:rFonts w:hint="eastAsia" w:ascii="仿宋" w:hAnsi="仿宋" w:eastAsia="仿宋" w:cs="仿宋"/>
          <w:b/>
          <w:bCs/>
          <w:color w:val="auto"/>
          <w:sz w:val="22"/>
          <w:szCs w:val="22"/>
          <w:highlight w:val="none"/>
          <w:lang w:val="en-US" w:eastAsia="zh-CN"/>
        </w:rPr>
        <w:t>技术协议》及国家、行业相关标准、合同约定标准为准。</w:t>
      </w:r>
    </w:p>
    <w:p w14:paraId="26EC8F4A">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14:paraId="08A49C4D">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14:paraId="03901CEE">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14:paraId="556C6D55">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安全、质量要求</w:t>
      </w:r>
    </w:p>
    <w:p w14:paraId="4D5854C0">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sz w:val="22"/>
          <w:szCs w:val="22"/>
          <w:u w:val="none"/>
          <w:lang w:val="en-US" w:eastAsia="zh-CN"/>
        </w:rPr>
        <w:t>一次风电动组合风门</w:t>
      </w:r>
      <w:r>
        <w:rPr>
          <w:rFonts w:hint="eastAsia" w:ascii="仿宋" w:hAnsi="仿宋" w:eastAsia="仿宋" w:cs="仿宋"/>
          <w:color w:val="auto"/>
          <w:sz w:val="22"/>
          <w:szCs w:val="22"/>
          <w:highlight w:val="none"/>
        </w:rPr>
        <w:t>技术规范书》和国家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14:paraId="0E4740E0">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14:paraId="1C266030">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sz w:val="22"/>
          <w:szCs w:val="22"/>
          <w:u w:val="none"/>
          <w:lang w:val="en-US" w:eastAsia="zh-CN"/>
        </w:rPr>
        <w:t>一次风电动组合风门</w:t>
      </w:r>
      <w:r>
        <w:rPr>
          <w:rFonts w:hint="eastAsia" w:ascii="仿宋" w:hAnsi="仿宋" w:eastAsia="仿宋" w:cs="仿宋"/>
          <w:color w:val="auto"/>
          <w:sz w:val="22"/>
          <w:szCs w:val="22"/>
          <w:highlight w:val="none"/>
        </w:rPr>
        <w:t>技术规范书》和国家标准要求且符合项目所在地的所有相关规范标准规定的要求。</w:t>
      </w:r>
    </w:p>
    <w:p w14:paraId="6D46758E">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14:paraId="7524C408">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14:paraId="2742FC95">
      <w:pPr>
        <w:spacing w:line="400" w:lineRule="exact"/>
        <w:ind w:firstLine="440" w:firstLineChars="200"/>
        <w:jc w:val="left"/>
        <w:rPr>
          <w:rFonts w:hint="eastAsia" w:ascii="仿宋" w:hAnsi="仿宋" w:eastAsia="仿宋" w:cs="仿宋"/>
          <w:sz w:val="22"/>
          <w:szCs w:val="22"/>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kern w:val="1"/>
          <w:sz w:val="22"/>
          <w:szCs w:val="22"/>
          <w:highlight w:val="none"/>
        </w:rPr>
        <w:t>合同签订后，</w:t>
      </w:r>
      <w:r>
        <w:rPr>
          <w:rFonts w:hint="eastAsia" w:ascii="仿宋" w:hAnsi="仿宋" w:eastAsia="仿宋" w:cs="仿宋"/>
          <w:color w:val="auto"/>
          <w:kern w:val="1"/>
          <w:sz w:val="22"/>
          <w:szCs w:val="22"/>
          <w:highlight w:val="none"/>
          <w:lang w:eastAsia="zh-CN"/>
        </w:rPr>
        <w:t>乙方</w:t>
      </w:r>
      <w:r>
        <w:rPr>
          <w:rFonts w:hint="eastAsia" w:ascii="仿宋" w:hAnsi="仿宋" w:eastAsia="仿宋" w:cs="仿宋"/>
          <w:color w:val="auto"/>
          <w:kern w:val="1"/>
          <w:sz w:val="22"/>
          <w:szCs w:val="22"/>
          <w:highlight w:val="none"/>
        </w:rPr>
        <w:t>根据</w:t>
      </w:r>
      <w:r>
        <w:rPr>
          <w:rFonts w:hint="eastAsia" w:ascii="仿宋" w:hAnsi="仿宋" w:eastAsia="仿宋" w:cs="仿宋"/>
          <w:color w:val="auto"/>
          <w:kern w:val="1"/>
          <w:sz w:val="22"/>
          <w:szCs w:val="22"/>
          <w:highlight w:val="none"/>
          <w:lang w:eastAsia="zh-CN"/>
        </w:rPr>
        <w:t>甲方</w:t>
      </w:r>
      <w:r>
        <w:rPr>
          <w:rFonts w:hint="eastAsia" w:ascii="仿宋" w:hAnsi="仿宋" w:eastAsia="仿宋" w:cs="仿宋"/>
          <w:color w:val="auto"/>
          <w:kern w:val="1"/>
          <w:sz w:val="22"/>
          <w:szCs w:val="22"/>
          <w:highlight w:val="none"/>
        </w:rPr>
        <w:t>要求送至</w:t>
      </w:r>
      <w:r>
        <w:rPr>
          <w:rFonts w:hint="eastAsia" w:ascii="仿宋" w:hAnsi="仿宋" w:eastAsia="仿宋" w:cs="仿宋"/>
          <w:color w:val="auto"/>
          <w:kern w:val="1"/>
          <w:sz w:val="22"/>
          <w:szCs w:val="22"/>
          <w:highlight w:val="none"/>
          <w:lang w:eastAsia="zh-CN"/>
        </w:rPr>
        <w:t>甲方</w:t>
      </w:r>
      <w:r>
        <w:rPr>
          <w:rFonts w:hint="eastAsia" w:ascii="仿宋" w:hAnsi="仿宋" w:eastAsia="仿宋" w:cs="仿宋"/>
          <w:color w:val="auto"/>
          <w:kern w:val="1"/>
          <w:sz w:val="22"/>
          <w:szCs w:val="22"/>
          <w:highlight w:val="none"/>
        </w:rPr>
        <w:t>指定地点，货送到工地</w:t>
      </w:r>
      <w:r>
        <w:rPr>
          <w:rFonts w:hint="eastAsia" w:ascii="仿宋" w:hAnsi="仿宋" w:eastAsia="仿宋" w:cs="仿宋"/>
          <w:color w:val="auto"/>
          <w:kern w:val="1"/>
          <w:sz w:val="22"/>
          <w:szCs w:val="22"/>
          <w:highlight w:val="none"/>
          <w:lang w:eastAsia="zh-CN"/>
        </w:rPr>
        <w:t>乙方</w:t>
      </w:r>
      <w:r>
        <w:rPr>
          <w:rFonts w:hint="eastAsia" w:ascii="仿宋" w:hAnsi="仿宋" w:eastAsia="仿宋" w:cs="仿宋"/>
          <w:color w:val="auto"/>
          <w:kern w:val="1"/>
          <w:sz w:val="22"/>
          <w:szCs w:val="22"/>
          <w:highlight w:val="none"/>
        </w:rPr>
        <w:t>需协助</w:t>
      </w:r>
      <w:r>
        <w:rPr>
          <w:rFonts w:hint="eastAsia" w:ascii="仿宋" w:hAnsi="仿宋" w:eastAsia="仿宋" w:cs="仿宋"/>
          <w:color w:val="auto"/>
          <w:kern w:val="1"/>
          <w:sz w:val="22"/>
          <w:szCs w:val="22"/>
          <w:highlight w:val="none"/>
          <w:lang w:eastAsia="zh-CN"/>
        </w:rPr>
        <w:t>甲方</w:t>
      </w:r>
      <w:r>
        <w:rPr>
          <w:rFonts w:hint="eastAsia" w:ascii="仿宋" w:hAnsi="仿宋" w:eastAsia="仿宋" w:cs="仿宋"/>
          <w:color w:val="auto"/>
          <w:kern w:val="1"/>
          <w:sz w:val="22"/>
          <w:szCs w:val="22"/>
          <w:highlight w:val="none"/>
        </w:rPr>
        <w:t>与监理、业主等单位对到货的材料进行检查验收，直至验收合格后为止。</w:t>
      </w:r>
      <w:r>
        <w:rPr>
          <w:rFonts w:hint="eastAsia" w:ascii="仿宋" w:hAnsi="仿宋" w:eastAsia="仿宋" w:cs="仿宋"/>
          <w:color w:val="auto"/>
          <w:sz w:val="22"/>
          <w:szCs w:val="22"/>
          <w:lang w:val="en-US" w:eastAsia="zh-CN"/>
        </w:rPr>
        <w:t>发货前乙方开具全额增值税发票,甲方收到发票后,支付合同金额95%作为发货款</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lang w:val="en-US" w:eastAsia="zh-CN"/>
        </w:rPr>
        <w:t>5%为质保金，待运行72+24小时合格后一次性付清</w:t>
      </w:r>
      <w:r>
        <w:rPr>
          <w:rFonts w:hint="eastAsia" w:ascii="仿宋" w:hAnsi="仿宋" w:eastAsia="仿宋" w:cs="仿宋"/>
          <w:color w:val="auto"/>
          <w:kern w:val="1"/>
          <w:sz w:val="22"/>
          <w:szCs w:val="22"/>
          <w:highlight w:val="none"/>
        </w:rPr>
        <w:t>。</w:t>
      </w:r>
      <w:bookmarkStart w:id="11" w:name="OLE_LINK9"/>
    </w:p>
    <w:bookmarkEnd w:id="11"/>
    <w:p w14:paraId="58CE1B66">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14:paraId="0B15D104">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14:paraId="3136B81B">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14:paraId="6FA779F1">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14:paraId="2880D15D">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14:paraId="4A7CBEF9">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14:paraId="2F356AC7">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14:paraId="03897A63">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14:paraId="5CF78693">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14:paraId="52220A1C">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14:paraId="157B09F7">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14:paraId="70402BDE">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14:paraId="21E9B04C">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bookmarkStart w:id="12" w:name="OLE_LINK12" w:colFirst="1" w:colLast="1"/>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14:paraId="07F6DC27">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14:paraId="2CC626DD">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14:paraId="06FE42E6">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w:t>
            </w:r>
            <w:bookmarkStart w:id="13" w:name="OLE_LINK11"/>
            <w:r>
              <w:rPr>
                <w:rFonts w:hint="eastAsia" w:ascii="仿宋" w:hAnsi="仿宋" w:eastAsia="仿宋" w:cs="仿宋"/>
                <w:color w:val="auto"/>
                <w:sz w:val="22"/>
                <w:szCs w:val="22"/>
                <w:highlight w:val="none"/>
              </w:rPr>
              <w:t>行</w:t>
            </w:r>
            <w:bookmarkEnd w:id="13"/>
          </w:p>
        </w:tc>
        <w:tc>
          <w:tcPr>
            <w:tcW w:w="6744" w:type="dxa"/>
            <w:tcBorders>
              <w:top w:val="single" w:color="auto" w:sz="4" w:space="0"/>
              <w:left w:val="single" w:color="auto" w:sz="4" w:space="0"/>
              <w:bottom w:val="single" w:color="auto" w:sz="4" w:space="0"/>
              <w:right w:val="single" w:color="auto" w:sz="4" w:space="0"/>
            </w:tcBorders>
            <w:vAlign w:val="center"/>
          </w:tcPr>
          <w:p w14:paraId="2C086270">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14:paraId="465AA348">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14:paraId="1B14DEC3">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14:paraId="67571847">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bookmarkEnd w:id="12"/>
    </w:tbl>
    <w:p w14:paraId="267AED54">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14:paraId="52026285">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14:paraId="41896863">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14:paraId="25DDA951">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14:paraId="1C06F00E">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14:paraId="6CBC92C7">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14:paraId="4EA979A0">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14:paraId="79C9B946">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14:paraId="1657CC95">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14:paraId="68E7EDD8">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bookmarkStart w:id="14" w:name="OLE_LINK16"/>
      <w:r>
        <w:rPr>
          <w:rFonts w:hint="eastAsia" w:ascii="仿宋" w:hAnsi="仿宋" w:eastAsia="仿宋" w:cs="仿宋"/>
          <w:sz w:val="22"/>
          <w:szCs w:val="22"/>
          <w:u w:val="none"/>
          <w:lang w:val="en-US" w:eastAsia="zh-CN"/>
        </w:rPr>
        <w:t>一次风电动组合风门</w:t>
      </w:r>
      <w:bookmarkEnd w:id="14"/>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w:t>
      </w:r>
      <w:r>
        <w:rPr>
          <w:rFonts w:hint="eastAsia" w:ascii="仿宋" w:hAnsi="仿宋" w:eastAsia="仿宋" w:cs="仿宋"/>
          <w:sz w:val="22"/>
          <w:szCs w:val="22"/>
          <w:u w:val="none"/>
          <w:lang w:val="en-US" w:eastAsia="zh-CN"/>
        </w:rPr>
        <w:t>一次风电动组合风门</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val="en-US" w:eastAsia="zh-CN"/>
        </w:rPr>
        <w:t>协议</w:t>
      </w:r>
      <w:r>
        <w:rPr>
          <w:rFonts w:hint="eastAsia" w:ascii="仿宋" w:hAnsi="仿宋" w:eastAsia="仿宋" w:cs="仿宋"/>
          <w:color w:val="auto"/>
          <w:sz w:val="22"/>
          <w:szCs w:val="22"/>
          <w:highlight w:val="none"/>
        </w:rPr>
        <w:t>》要求的其他相关技术服务。调试内容详见《</w:t>
      </w:r>
      <w:r>
        <w:rPr>
          <w:rFonts w:hint="eastAsia" w:ascii="仿宋" w:hAnsi="仿宋" w:eastAsia="仿宋" w:cs="仿宋"/>
          <w:sz w:val="22"/>
          <w:szCs w:val="22"/>
          <w:u w:val="none"/>
          <w:lang w:val="en-US" w:eastAsia="zh-CN"/>
        </w:rPr>
        <w:t>一次风电动组合风门</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w:t>
      </w:r>
      <w:r>
        <w:rPr>
          <w:rFonts w:hint="eastAsia" w:ascii="仿宋" w:hAnsi="仿宋" w:eastAsia="仿宋" w:cs="仿宋"/>
          <w:sz w:val="22"/>
          <w:szCs w:val="22"/>
          <w:u w:val="none"/>
          <w:lang w:val="en-US" w:eastAsia="zh-CN"/>
        </w:rPr>
        <w:t>一次风电动组合风门</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val="en-US" w:eastAsia="zh-CN"/>
        </w:rPr>
        <w:t>协议</w:t>
      </w:r>
      <w:r>
        <w:rPr>
          <w:rFonts w:hint="eastAsia" w:ascii="仿宋" w:hAnsi="仿宋" w:eastAsia="仿宋" w:cs="仿宋"/>
          <w:color w:val="auto"/>
          <w:sz w:val="22"/>
          <w:szCs w:val="22"/>
          <w:highlight w:val="none"/>
        </w:rPr>
        <w:t>》。</w:t>
      </w:r>
    </w:p>
    <w:p w14:paraId="46C74159">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14:paraId="2B296A4D">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14:paraId="2D81CD7F">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14:paraId="3EB94CF7">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lang w:eastAsia="zh-CN"/>
        </w:rPr>
        <w:t>刘陈焱</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：18659331239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14:paraId="3A7AE37E">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14:paraId="73F1D081">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bookmarkStart w:id="15" w:name="OLE_LINK10"/>
      <w:r>
        <w:rPr>
          <w:rFonts w:hint="eastAsia" w:ascii="仿宋" w:hAnsi="仿宋" w:eastAsia="仿宋" w:cs="仿宋"/>
          <w:color w:val="auto"/>
          <w:sz w:val="22"/>
          <w:szCs w:val="22"/>
          <w:highlight w:val="none"/>
          <w:u w:val="single"/>
          <w:lang w:val="en-US" w:eastAsia="zh-CN"/>
        </w:rPr>
        <w:t xml:space="preserve">                             </w:t>
      </w:r>
      <w:bookmarkEnd w:id="15"/>
      <w:r>
        <w:rPr>
          <w:rFonts w:hint="eastAsia" w:ascii="仿宋" w:hAnsi="仿宋" w:eastAsia="仿宋" w:cs="仿宋"/>
          <w:color w:val="auto"/>
          <w:sz w:val="22"/>
          <w:szCs w:val="22"/>
          <w:highlight w:val="none"/>
        </w:rPr>
        <w:t>。联系人：</w:t>
      </w:r>
      <w:bookmarkStart w:id="16" w:name="OLE_LINK13"/>
      <w:r>
        <w:rPr>
          <w:rFonts w:hint="eastAsia" w:ascii="仿宋" w:hAnsi="仿宋" w:eastAsia="仿宋" w:cs="仿宋"/>
          <w:color w:val="auto"/>
          <w:sz w:val="22"/>
          <w:szCs w:val="22"/>
          <w:highlight w:val="none"/>
          <w:u w:val="single"/>
          <w:lang w:val="en-US" w:eastAsia="zh-CN"/>
        </w:rPr>
        <w:t xml:space="preserve">     </w:t>
      </w:r>
      <w:bookmarkEnd w:id="16"/>
      <w:r>
        <w:rPr>
          <w:rFonts w:hint="eastAsia" w:ascii="仿宋" w:hAnsi="仿宋" w:eastAsia="仿宋" w:cs="仿宋"/>
          <w:color w:val="auto"/>
          <w:sz w:val="22"/>
          <w:szCs w:val="22"/>
          <w:highlight w:val="none"/>
        </w:rPr>
        <w:t>手机：</w:t>
      </w:r>
      <w:bookmarkStart w:id="17" w:name="OLE_LINK14"/>
      <w:r>
        <w:rPr>
          <w:rFonts w:hint="eastAsia" w:ascii="仿宋" w:hAnsi="仿宋" w:eastAsia="仿宋" w:cs="仿宋"/>
          <w:color w:val="auto"/>
          <w:sz w:val="22"/>
          <w:szCs w:val="22"/>
          <w:highlight w:val="none"/>
          <w:u w:val="single"/>
          <w:lang w:val="en-US" w:eastAsia="zh-CN"/>
        </w:rPr>
        <w:t xml:space="preserve">         </w:t>
      </w:r>
      <w:bookmarkEnd w:id="17"/>
      <w:r>
        <w:rPr>
          <w:rFonts w:hint="eastAsia" w:ascii="仿宋" w:hAnsi="仿宋" w:eastAsia="仿宋" w:cs="仿宋"/>
          <w:color w:val="auto"/>
          <w:sz w:val="22"/>
          <w:szCs w:val="22"/>
          <w:highlight w:val="none"/>
        </w:rPr>
        <w:t>。用邮政特快专递邮寄到前述地址，或通过手机、QQ、微信、电子邮箱等方式送达，均视有效送达乙方。</w:t>
      </w:r>
    </w:p>
    <w:p w14:paraId="107C1B37">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14:paraId="668B2814">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14:paraId="1AD18075">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违约责任</w:t>
      </w:r>
    </w:p>
    <w:p w14:paraId="71E9DCB4">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14:paraId="3F95E736">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14:paraId="16F543DF">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14:paraId="329F80C4">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14:paraId="3755405D">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14:paraId="013DB281">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14:paraId="199A87C4">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14:paraId="051C2E3D">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14:paraId="5C55D060">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14:paraId="405D950C">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14:paraId="44B55048">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14:paraId="1D23607C">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.1发生纠纷，由甲乙双方领导协商解决，协商不成任何一方均可向甲方所在地人民法院提起诉讼。</w:t>
      </w:r>
    </w:p>
    <w:p w14:paraId="3123BFC6">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.2本合同关于争议的解决方式的约定具有最终效力，双方以后发生的补充合同、会议纪要、往来函件、发料单、物资结算单等涉及到争议解决方式的，均不得对抗此约定。</w:t>
      </w:r>
    </w:p>
    <w:p w14:paraId="2F3A33FA">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特别约定</w:t>
      </w:r>
    </w:p>
    <w:p w14:paraId="396FF879">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14:paraId="3A38FE73">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福州市鼓楼区福新路297号福建省工业设备安装有限公司法务部，写明项目名称和欠款金额，附有关材料</w:t>
      </w:r>
      <w:r>
        <w:rPr>
          <w:rFonts w:hint="eastAsia" w:ascii="仿宋" w:hAnsi="仿宋" w:eastAsia="仿宋" w:cs="仿宋"/>
          <w:bCs/>
          <w:color w:val="auto"/>
          <w:sz w:val="22"/>
          <w:szCs w:val="22"/>
          <w:highlight w:val="none"/>
        </w:rPr>
        <w:t>）否则，视为乙方同意免除付款责任。</w:t>
      </w:r>
    </w:p>
    <w:p w14:paraId="50D9A5A9">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德化县生活垃圾焚烧发电项目工程机电安装工程及运营维护</w:t>
      </w:r>
      <w:bookmarkStart w:id="18" w:name="OLE_LINK17"/>
      <w:r>
        <w:rPr>
          <w:rFonts w:hint="eastAsia" w:ascii="仿宋" w:hAnsi="仿宋" w:eastAsia="仿宋" w:cs="仿宋"/>
          <w:color w:val="auto"/>
          <w:sz w:val="22"/>
          <w:szCs w:val="22"/>
          <w:highlight w:val="none"/>
          <w:u w:val="single"/>
          <w:lang w:eastAsia="zh-CN"/>
        </w:rPr>
        <w:t>(</w:t>
      </w:r>
      <w:r>
        <w:rPr>
          <w:rFonts w:hint="eastAsia" w:ascii="仿宋" w:hAnsi="仿宋" w:eastAsia="仿宋" w:cs="仿宋"/>
          <w:sz w:val="22"/>
          <w:szCs w:val="22"/>
          <w:u w:val="single"/>
          <w:lang w:val="en-US" w:eastAsia="zh-CN"/>
        </w:rPr>
        <w:t>一次风电动组合风门</w:t>
      </w:r>
      <w:r>
        <w:rPr>
          <w:rFonts w:hint="eastAsia" w:ascii="仿宋" w:hAnsi="仿宋" w:eastAsia="仿宋" w:cs="仿宋"/>
          <w:color w:val="auto"/>
          <w:sz w:val="22"/>
          <w:szCs w:val="22"/>
          <w:highlight w:val="none"/>
          <w:u w:val="single"/>
          <w:lang w:eastAsia="zh-CN"/>
        </w:rPr>
        <w:t>)</w:t>
      </w:r>
      <w:bookmarkEnd w:id="18"/>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14:paraId="28DD1772">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14:paraId="503D64B9">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sz w:val="22"/>
          <w:szCs w:val="22"/>
          <w:highlight w:val="none"/>
        </w:rPr>
        <w:t>生效及其他</w:t>
      </w:r>
    </w:p>
    <w:p w14:paraId="184FA4AB">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sz w:val="22"/>
          <w:szCs w:val="22"/>
          <w:u w:val="none"/>
          <w:lang w:val="en-US" w:eastAsia="zh-CN"/>
        </w:rPr>
        <w:t>一次风电动组合风门</w:t>
      </w:r>
      <w:r>
        <w:rPr>
          <w:rFonts w:hint="eastAsia" w:ascii="仿宋" w:hAnsi="仿宋" w:eastAsia="仿宋" w:cs="仿宋"/>
          <w:color w:val="auto"/>
          <w:sz w:val="22"/>
          <w:szCs w:val="22"/>
          <w:highlight w:val="none"/>
        </w:rPr>
        <w:t>技术规范书》所约定的技术要求的，以甲方与总承包方、总承包方与业主签订的技术规范书约定的为准。</w:t>
      </w:r>
    </w:p>
    <w:p w14:paraId="5611FE1E">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14:paraId="797DDA08">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14:paraId="6EA03082">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14:paraId="5163426A">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以下无正文）</w:t>
      </w:r>
    </w:p>
    <w:tbl>
      <w:tblPr>
        <w:tblStyle w:val="17"/>
        <w:tblpPr w:leftFromText="180" w:rightFromText="180" w:vertAnchor="text" w:horzAnchor="margin" w:tblpX="-67" w:tblpY="221"/>
        <w:tblW w:w="100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71"/>
      </w:tblGrid>
      <w:tr w14:paraId="589C9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4553" w:type="dxa"/>
          </w:tcPr>
          <w:p w14:paraId="049697B7">
            <w:pPr>
              <w:adjustRightInd w:val="0"/>
              <w:snapToGrid w:val="0"/>
              <w:ind w:left="-424" w:leftChars="-202" w:firstLine="568" w:firstLineChars="202"/>
              <w:jc w:val="center"/>
              <w:rPr>
                <w:rFonts w:ascii="仿宋" w:hAnsi="仿宋" w:eastAsia="仿宋" w:cs="仿宋"/>
                <w:b/>
                <w:bCs/>
                <w:sz w:val="28"/>
                <w:szCs w:val="28"/>
              </w:rPr>
            </w:pPr>
            <w:r>
              <w:rPr>
                <w:rFonts w:hint="eastAsia" w:ascii="仿宋" w:hAnsi="仿宋" w:eastAsia="仿宋" w:cs="仿宋"/>
                <w:b/>
                <w:bCs/>
                <w:sz w:val="28"/>
                <w:szCs w:val="28"/>
              </w:rPr>
              <w:t>甲   方</w:t>
            </w:r>
          </w:p>
          <w:p w14:paraId="37FBF7A7">
            <w:pPr>
              <w:adjustRightInd w:val="0"/>
              <w:snapToGrid w:val="0"/>
              <w:rPr>
                <w:rFonts w:ascii="仿宋" w:hAnsi="仿宋" w:eastAsia="仿宋" w:cstheme="minorBidi"/>
                <w:bCs/>
                <w:sz w:val="20"/>
                <w:szCs w:val="20"/>
              </w:rPr>
            </w:pPr>
            <w:r>
              <w:rPr>
                <w:rFonts w:hint="eastAsia" w:ascii="仿宋" w:hAnsi="仿宋" w:eastAsia="仿宋" w:cstheme="minorBidi"/>
                <w:bCs/>
                <w:sz w:val="20"/>
                <w:szCs w:val="20"/>
              </w:rPr>
              <w:t>甲方（章）：福建省工业设备安装有限公司</w:t>
            </w:r>
          </w:p>
          <w:p w14:paraId="47B809DF">
            <w:pPr>
              <w:adjustRightInd w:val="0"/>
              <w:snapToGrid w:val="0"/>
              <w:rPr>
                <w:rFonts w:ascii="仿宋" w:hAnsi="仿宋" w:eastAsia="仿宋" w:cstheme="minorBidi"/>
                <w:bCs/>
                <w:sz w:val="20"/>
                <w:szCs w:val="20"/>
              </w:rPr>
            </w:pPr>
            <w:r>
              <w:rPr>
                <w:rFonts w:hint="eastAsia" w:ascii="仿宋" w:hAnsi="仿宋" w:eastAsia="仿宋" w:cstheme="minorBidi"/>
                <w:bCs/>
                <w:sz w:val="20"/>
                <w:szCs w:val="20"/>
              </w:rPr>
              <w:t>地址：福建省福州市福新路297号</w:t>
            </w:r>
          </w:p>
          <w:p w14:paraId="4F4C07EF">
            <w:pPr>
              <w:adjustRightInd w:val="0"/>
              <w:snapToGrid w:val="0"/>
              <w:rPr>
                <w:rFonts w:ascii="仿宋" w:hAnsi="仿宋" w:eastAsia="仿宋" w:cstheme="minorBidi"/>
                <w:bCs/>
                <w:sz w:val="20"/>
                <w:szCs w:val="20"/>
              </w:rPr>
            </w:pPr>
            <w:r>
              <w:rPr>
                <w:rFonts w:hint="eastAsia" w:ascii="仿宋" w:hAnsi="仿宋" w:eastAsia="仿宋" w:cstheme="minorBidi"/>
                <w:bCs/>
                <w:sz w:val="20"/>
                <w:szCs w:val="20"/>
              </w:rPr>
              <w:t>法定代表人：</w:t>
            </w:r>
          </w:p>
          <w:p w14:paraId="0ADC8B66">
            <w:pPr>
              <w:adjustRightInd w:val="0"/>
              <w:snapToGrid w:val="0"/>
              <w:rPr>
                <w:rFonts w:ascii="仿宋" w:hAnsi="仿宋" w:eastAsia="仿宋" w:cstheme="minorBidi"/>
                <w:bCs/>
                <w:sz w:val="20"/>
                <w:szCs w:val="20"/>
              </w:rPr>
            </w:pPr>
            <w:r>
              <w:rPr>
                <w:rFonts w:hint="eastAsia" w:ascii="仿宋" w:hAnsi="仿宋" w:eastAsia="仿宋" w:cstheme="minorBidi"/>
                <w:bCs/>
                <w:sz w:val="20"/>
                <w:szCs w:val="20"/>
              </w:rPr>
              <w:t>委托代理人：</w:t>
            </w:r>
          </w:p>
          <w:p w14:paraId="638583BA">
            <w:pPr>
              <w:adjustRightInd w:val="0"/>
              <w:snapToGrid w:val="0"/>
              <w:rPr>
                <w:rFonts w:ascii="仿宋" w:hAnsi="仿宋" w:eastAsia="仿宋" w:cstheme="minorBidi"/>
                <w:bCs/>
                <w:sz w:val="20"/>
                <w:szCs w:val="20"/>
              </w:rPr>
            </w:pPr>
            <w:r>
              <w:rPr>
                <w:rFonts w:hint="eastAsia" w:ascii="仿宋" w:hAnsi="仿宋" w:eastAsia="仿宋" w:cstheme="minorBidi"/>
                <w:bCs/>
                <w:sz w:val="20"/>
                <w:szCs w:val="20"/>
              </w:rPr>
              <w:t>电    话：0591-87564310</w:t>
            </w:r>
          </w:p>
          <w:p w14:paraId="71580837">
            <w:pPr>
              <w:adjustRightInd w:val="0"/>
              <w:snapToGrid w:val="0"/>
              <w:rPr>
                <w:rFonts w:ascii="仿宋" w:hAnsi="仿宋" w:eastAsia="仿宋" w:cstheme="minorBidi"/>
                <w:bCs/>
                <w:sz w:val="20"/>
                <w:szCs w:val="20"/>
              </w:rPr>
            </w:pPr>
            <w:r>
              <w:rPr>
                <w:rFonts w:hint="eastAsia" w:ascii="仿宋" w:hAnsi="仿宋" w:eastAsia="仿宋" w:cstheme="minorBidi"/>
                <w:bCs/>
                <w:sz w:val="20"/>
                <w:szCs w:val="20"/>
              </w:rPr>
              <w:t>开户银行：建设银行股份有限公司福建省分行</w:t>
            </w:r>
          </w:p>
          <w:p w14:paraId="49C72263">
            <w:pPr>
              <w:adjustRightInd w:val="0"/>
              <w:snapToGrid w:val="0"/>
              <w:rPr>
                <w:rFonts w:ascii="仿宋" w:hAnsi="仿宋" w:eastAsia="仿宋" w:cstheme="minorBidi"/>
                <w:bCs/>
                <w:sz w:val="20"/>
                <w:szCs w:val="20"/>
              </w:rPr>
            </w:pPr>
            <w:r>
              <w:rPr>
                <w:rFonts w:hint="eastAsia" w:ascii="仿宋" w:hAnsi="仿宋" w:eastAsia="仿宋" w:cstheme="minorBidi"/>
                <w:bCs/>
                <w:sz w:val="20"/>
                <w:szCs w:val="20"/>
              </w:rPr>
              <w:t>帐    号：3500 1002 4060 5000 6006</w:t>
            </w:r>
          </w:p>
          <w:p w14:paraId="5C9D18CB">
            <w:pPr>
              <w:adjustRightInd w:val="0"/>
              <w:snapToGrid w:val="0"/>
              <w:rPr>
                <w:rFonts w:ascii="仿宋" w:hAnsi="仿宋" w:eastAsia="仿宋" w:cstheme="minorBidi"/>
                <w:bCs/>
                <w:sz w:val="20"/>
                <w:szCs w:val="20"/>
              </w:rPr>
            </w:pPr>
            <w:r>
              <w:rPr>
                <w:rFonts w:hint="eastAsia" w:ascii="仿宋" w:hAnsi="仿宋" w:eastAsia="仿宋" w:cstheme="minorBidi"/>
                <w:bCs/>
                <w:sz w:val="20"/>
                <w:szCs w:val="20"/>
              </w:rPr>
              <w:t>纳税识别号：9135 0000 1581 6269 1H</w:t>
            </w:r>
          </w:p>
          <w:p w14:paraId="173028FE">
            <w:pPr>
              <w:adjustRightInd w:val="0"/>
              <w:snapToGrid w:val="0"/>
              <w:rPr>
                <w:rFonts w:ascii="仿宋" w:hAnsi="仿宋" w:eastAsia="仿宋" w:cstheme="minorBidi"/>
                <w:bCs/>
                <w:sz w:val="20"/>
                <w:szCs w:val="20"/>
              </w:rPr>
            </w:pPr>
            <w:r>
              <w:rPr>
                <w:rFonts w:hint="eastAsia" w:ascii="仿宋" w:hAnsi="仿宋" w:eastAsia="仿宋" w:cstheme="minorBidi"/>
                <w:bCs/>
                <w:sz w:val="20"/>
                <w:szCs w:val="20"/>
              </w:rPr>
              <w:t xml:space="preserve">联 系 人： 林衍铭18906066636 </w:t>
            </w:r>
          </w:p>
          <w:p w14:paraId="27C51DE8">
            <w:pPr>
              <w:spacing w:line="276" w:lineRule="auto"/>
              <w:rPr>
                <w:rFonts w:hint="eastAsia" w:ascii="仿宋" w:hAnsi="仿宋" w:eastAsia="仿宋" w:cs="仿宋"/>
                <w:color w:val="auto"/>
                <w:sz w:val="22"/>
                <w:szCs w:val="22"/>
                <w:highlight w:val="none"/>
              </w:rPr>
            </w:pPr>
            <w:r>
              <w:rPr>
                <w:rFonts w:hint="eastAsia" w:ascii="仿宋" w:hAnsi="仿宋" w:eastAsia="仿宋" w:cstheme="minorBidi"/>
                <w:bCs/>
                <w:sz w:val="20"/>
                <w:szCs w:val="20"/>
              </w:rPr>
              <w:t>日    期：2024年</w:t>
            </w:r>
            <w:r>
              <w:rPr>
                <w:rFonts w:hint="eastAsia" w:ascii="仿宋" w:hAnsi="仿宋" w:eastAsia="仿宋" w:cstheme="minorBidi"/>
                <w:bCs/>
                <w:sz w:val="20"/>
                <w:szCs w:val="20"/>
                <w:lang w:val="en-US" w:eastAsia="zh-CN"/>
              </w:rPr>
              <w:t xml:space="preserve">  </w:t>
            </w:r>
            <w:r>
              <w:rPr>
                <w:rFonts w:hint="eastAsia" w:ascii="仿宋" w:hAnsi="仿宋" w:eastAsia="仿宋" w:cstheme="minorBidi"/>
                <w:bCs/>
                <w:sz w:val="20"/>
                <w:szCs w:val="20"/>
              </w:rPr>
              <w:t>月</w:t>
            </w:r>
            <w:r>
              <w:rPr>
                <w:rFonts w:hint="eastAsia" w:ascii="仿宋" w:hAnsi="仿宋" w:eastAsia="仿宋" w:cstheme="minorBidi"/>
                <w:bCs/>
                <w:sz w:val="20"/>
                <w:szCs w:val="20"/>
                <w:lang w:val="en-US" w:eastAsia="zh-CN"/>
              </w:rPr>
              <w:t xml:space="preserve">  </w:t>
            </w:r>
            <w:r>
              <w:rPr>
                <w:rFonts w:hint="eastAsia" w:ascii="仿宋" w:hAnsi="仿宋" w:eastAsia="仿宋" w:cstheme="minorBidi"/>
                <w:bCs/>
                <w:sz w:val="20"/>
                <w:szCs w:val="20"/>
              </w:rPr>
              <w:t>日</w:t>
            </w:r>
          </w:p>
        </w:tc>
        <w:tc>
          <w:tcPr>
            <w:tcW w:w="5471" w:type="dxa"/>
          </w:tcPr>
          <w:p w14:paraId="461A7E89">
            <w:pPr>
              <w:adjustRightInd w:val="0"/>
              <w:snapToGrid w:val="0"/>
              <w:ind w:left="-424" w:leftChars="-202" w:firstLine="568" w:firstLineChars="202"/>
              <w:jc w:val="center"/>
              <w:rPr>
                <w:rFonts w:hint="eastAsia" w:ascii="仿宋" w:hAnsi="仿宋" w:eastAsia="仿宋" w:cs="仿宋"/>
                <w:b/>
                <w:bCs/>
                <w:sz w:val="28"/>
                <w:szCs w:val="28"/>
              </w:rPr>
            </w:pPr>
            <w:r>
              <w:rPr>
                <w:rFonts w:hint="eastAsia" w:ascii="仿宋" w:hAnsi="仿宋" w:eastAsia="仿宋" w:cs="仿宋"/>
                <w:b/>
                <w:bCs/>
                <w:sz w:val="28"/>
                <w:szCs w:val="28"/>
              </w:rPr>
              <w:t>乙    方</w:t>
            </w:r>
          </w:p>
          <w:p w14:paraId="5AE781F4">
            <w:pPr>
              <w:rPr>
                <w:rFonts w:hint="eastAsia" w:ascii="仿宋" w:hAnsi="仿宋" w:eastAsia="仿宋" w:cs="仿宋"/>
                <w:bCs/>
                <w:sz w:val="20"/>
                <w:szCs w:val="20"/>
              </w:rPr>
            </w:pPr>
            <w:r>
              <w:rPr>
                <w:rFonts w:hint="eastAsia" w:ascii="仿宋" w:hAnsi="仿宋" w:eastAsia="仿宋" w:cs="仿宋"/>
                <w:bCs/>
                <w:sz w:val="20"/>
                <w:szCs w:val="20"/>
              </w:rPr>
              <w:t>乙方（章）：</w:t>
            </w:r>
          </w:p>
          <w:p w14:paraId="0FEF206D">
            <w:pPr>
              <w:rPr>
                <w:rFonts w:hint="eastAsia" w:ascii="仿宋" w:hAnsi="仿宋" w:eastAsia="仿宋" w:cs="仿宋"/>
                <w:bCs/>
                <w:sz w:val="20"/>
                <w:szCs w:val="20"/>
              </w:rPr>
            </w:pPr>
            <w:r>
              <w:rPr>
                <w:rFonts w:hint="eastAsia" w:ascii="仿宋" w:hAnsi="仿宋" w:eastAsia="仿宋" w:cs="仿宋"/>
                <w:bCs/>
                <w:sz w:val="20"/>
                <w:szCs w:val="20"/>
              </w:rPr>
              <w:t>地     址：</w:t>
            </w:r>
          </w:p>
          <w:p w14:paraId="1B8E8FA1">
            <w:pPr>
              <w:rPr>
                <w:rFonts w:ascii="仿宋" w:hAnsi="仿宋" w:eastAsia="仿宋" w:cs="仿宋"/>
                <w:bCs/>
                <w:sz w:val="20"/>
                <w:szCs w:val="20"/>
              </w:rPr>
            </w:pPr>
            <w:r>
              <w:rPr>
                <w:rFonts w:hint="eastAsia" w:ascii="仿宋" w:hAnsi="仿宋" w:eastAsia="仿宋" w:cs="仿宋"/>
                <w:bCs/>
                <w:sz w:val="20"/>
                <w:szCs w:val="20"/>
              </w:rPr>
              <w:t>法定代表人：</w:t>
            </w:r>
          </w:p>
          <w:p w14:paraId="5A65FFAA">
            <w:pPr>
              <w:rPr>
                <w:rFonts w:ascii="仿宋" w:hAnsi="仿宋" w:eastAsia="仿宋" w:cs="仿宋"/>
                <w:sz w:val="20"/>
                <w:szCs w:val="20"/>
              </w:rPr>
            </w:pPr>
            <w:r>
              <w:rPr>
                <w:rFonts w:hint="eastAsia" w:ascii="仿宋" w:hAnsi="仿宋" w:eastAsia="仿宋" w:cs="仿宋"/>
                <w:bCs/>
                <w:sz w:val="20"/>
                <w:szCs w:val="20"/>
              </w:rPr>
              <w:t>委托代理人</w:t>
            </w:r>
            <w:r>
              <w:rPr>
                <w:rFonts w:hint="eastAsia" w:ascii="仿宋" w:hAnsi="仿宋" w:eastAsia="仿宋" w:cs="仿宋"/>
                <w:sz w:val="20"/>
                <w:szCs w:val="20"/>
              </w:rPr>
              <w:t>：</w:t>
            </w:r>
          </w:p>
          <w:p w14:paraId="07BF0F3C">
            <w:pPr>
              <w:rPr>
                <w:rFonts w:ascii="仿宋" w:hAnsi="仿宋" w:eastAsia="仿宋" w:cs="仿宋"/>
                <w:kern w:val="0"/>
                <w:sz w:val="20"/>
                <w:szCs w:val="20"/>
              </w:rPr>
            </w:pPr>
            <w:r>
              <w:rPr>
                <w:rFonts w:hint="eastAsia" w:ascii="仿宋" w:hAnsi="仿宋" w:eastAsia="仿宋" w:cs="仿宋"/>
                <w:bCs/>
                <w:sz w:val="20"/>
                <w:szCs w:val="20"/>
              </w:rPr>
              <w:t>电     话：</w:t>
            </w:r>
          </w:p>
          <w:p w14:paraId="210DB551">
            <w:pPr>
              <w:rPr>
                <w:rFonts w:ascii="仿宋" w:hAnsi="仿宋" w:eastAsia="仿宋" w:cs="仿宋"/>
                <w:bCs/>
                <w:sz w:val="20"/>
                <w:szCs w:val="20"/>
              </w:rPr>
            </w:pPr>
            <w:r>
              <w:rPr>
                <w:rFonts w:hint="eastAsia" w:ascii="仿宋" w:hAnsi="仿宋" w:eastAsia="仿宋" w:cs="仿宋"/>
                <w:bCs/>
                <w:sz w:val="20"/>
                <w:szCs w:val="20"/>
              </w:rPr>
              <w:t>开户银行：</w:t>
            </w:r>
          </w:p>
          <w:p w14:paraId="6A063369">
            <w:pPr>
              <w:adjustRightInd w:val="0"/>
              <w:snapToGrid w:val="0"/>
              <w:rPr>
                <w:rFonts w:hint="eastAsia" w:ascii="仿宋" w:hAnsi="仿宋" w:eastAsia="仿宋" w:cs="仿宋"/>
                <w:bCs/>
                <w:sz w:val="20"/>
                <w:szCs w:val="20"/>
              </w:rPr>
            </w:pPr>
            <w:r>
              <w:rPr>
                <w:rFonts w:hint="eastAsia" w:ascii="仿宋" w:hAnsi="仿宋" w:eastAsia="仿宋" w:cs="仿宋"/>
                <w:bCs/>
                <w:sz w:val="20"/>
                <w:szCs w:val="20"/>
              </w:rPr>
              <w:t>帐    号：</w:t>
            </w:r>
          </w:p>
          <w:p w14:paraId="713C4EC9">
            <w:pPr>
              <w:rPr>
                <w:rFonts w:hint="eastAsia" w:ascii="仿宋" w:hAnsi="仿宋" w:eastAsia="仿宋" w:cs="仿宋"/>
                <w:bCs/>
                <w:sz w:val="20"/>
                <w:szCs w:val="20"/>
              </w:rPr>
            </w:pPr>
            <w:r>
              <w:rPr>
                <w:rFonts w:hint="eastAsia" w:ascii="仿宋" w:hAnsi="仿宋" w:eastAsia="仿宋" w:cs="仿宋"/>
                <w:bCs/>
                <w:sz w:val="20"/>
                <w:szCs w:val="20"/>
              </w:rPr>
              <w:t>纳税识别号：</w:t>
            </w:r>
          </w:p>
          <w:p w14:paraId="633ED64B">
            <w:pPr>
              <w:rPr>
                <w:rFonts w:ascii="仿宋" w:hAnsi="仿宋" w:eastAsia="仿宋" w:cs="仿宋"/>
                <w:bCs/>
                <w:sz w:val="20"/>
                <w:szCs w:val="20"/>
              </w:rPr>
            </w:pPr>
            <w:r>
              <w:rPr>
                <w:rFonts w:hint="eastAsia" w:ascii="仿宋" w:hAnsi="仿宋" w:eastAsia="仿宋" w:cs="仿宋"/>
                <w:bCs/>
                <w:sz w:val="20"/>
                <w:szCs w:val="20"/>
              </w:rPr>
              <w:t>联 系 人：</w:t>
            </w:r>
          </w:p>
          <w:p w14:paraId="3356C88D">
            <w:pPr>
              <w:adjustRightInd w:val="0"/>
              <w:snapToGrid w:val="0"/>
              <w:ind w:left="-424" w:leftChars="-202" w:firstLine="404" w:firstLineChars="202"/>
              <w:jc w:val="both"/>
              <w:rPr>
                <w:rFonts w:hint="default" w:ascii="仿宋" w:hAnsi="仿宋" w:eastAsia="仿宋" w:cs="仿宋"/>
                <w:bCs/>
                <w:color w:val="auto"/>
                <w:sz w:val="22"/>
                <w:szCs w:val="22"/>
                <w:highlight w:val="none"/>
                <w:lang w:val="en-US" w:eastAsia="zh-CN"/>
              </w:rPr>
            </w:pPr>
            <w:r>
              <w:rPr>
                <w:rFonts w:hint="eastAsia" w:ascii="仿宋" w:hAnsi="仿宋" w:eastAsia="仿宋" w:cs="仿宋"/>
                <w:bCs/>
                <w:sz w:val="20"/>
                <w:szCs w:val="20"/>
              </w:rPr>
              <w:t>日    期：2024年    月      日</w:t>
            </w:r>
          </w:p>
        </w:tc>
      </w:tr>
    </w:tbl>
    <w:p w14:paraId="3CB63CB9">
      <w:pPr>
        <w:rPr>
          <w:rFonts w:hint="eastAsia" w:ascii="宋体" w:hAnsi="宋体" w:eastAsia="宋体" w:cs="宋体"/>
          <w:b/>
          <w:bCs/>
          <w:color w:val="auto"/>
          <w:sz w:val="24"/>
          <w:szCs w:val="24"/>
          <w:highlight w:val="none"/>
        </w:rPr>
      </w:pPr>
    </w:p>
    <w:sectPr>
      <w:headerReference r:id="rId8" w:type="first"/>
      <w:footerReference r:id="rId11" w:type="first"/>
      <w:headerReference r:id="rId6" w:type="default"/>
      <w:footerReference r:id="rId9" w:type="default"/>
      <w:headerReference r:id="rId7" w:type="even"/>
      <w:footerReference r:id="rId10" w:type="even"/>
      <w:pgSz w:w="11906" w:h="16838"/>
      <w:pgMar w:top="1134" w:right="1134" w:bottom="1276" w:left="1559"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10614">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7CE8D">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14:paraId="44600008">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65183">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14:paraId="5BA519C0">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14:paraId="5BA519C0">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97398">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E4A95">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4A63B">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A193E">
    <w:pPr>
      <w:pStyle w:val="11"/>
      <w:pBdr>
        <w:bottom w:val="none" w:color="auto" w:sz="0" w:space="1"/>
      </w:pBdr>
      <w:ind w:left="0" w:leftChars="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2E98B">
    <w:pPr>
      <w:pStyle w:val="11"/>
      <w:ind w:left="132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40F50">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1C69F7"/>
    <w:rsid w:val="03B413B5"/>
    <w:rsid w:val="042F43CA"/>
    <w:rsid w:val="05FD4007"/>
    <w:rsid w:val="06040DB4"/>
    <w:rsid w:val="062157E1"/>
    <w:rsid w:val="06816127"/>
    <w:rsid w:val="07210C6F"/>
    <w:rsid w:val="07354260"/>
    <w:rsid w:val="073B53CC"/>
    <w:rsid w:val="09761E8B"/>
    <w:rsid w:val="098719B6"/>
    <w:rsid w:val="09A11DFF"/>
    <w:rsid w:val="09A52C7D"/>
    <w:rsid w:val="0A631557"/>
    <w:rsid w:val="0E240CE0"/>
    <w:rsid w:val="0E2965E4"/>
    <w:rsid w:val="0EA2719F"/>
    <w:rsid w:val="103726B9"/>
    <w:rsid w:val="105552F6"/>
    <w:rsid w:val="10833C11"/>
    <w:rsid w:val="11295466"/>
    <w:rsid w:val="113E0203"/>
    <w:rsid w:val="147D5501"/>
    <w:rsid w:val="14AF0804"/>
    <w:rsid w:val="14B44CE1"/>
    <w:rsid w:val="15011C23"/>
    <w:rsid w:val="150A69CF"/>
    <w:rsid w:val="1600443A"/>
    <w:rsid w:val="1619122F"/>
    <w:rsid w:val="16C31C52"/>
    <w:rsid w:val="16F45869"/>
    <w:rsid w:val="172A6A53"/>
    <w:rsid w:val="17944956"/>
    <w:rsid w:val="17DA1193"/>
    <w:rsid w:val="186C3A06"/>
    <w:rsid w:val="189F1804"/>
    <w:rsid w:val="1A121912"/>
    <w:rsid w:val="1A1B1825"/>
    <w:rsid w:val="1A31607E"/>
    <w:rsid w:val="1A6B3F12"/>
    <w:rsid w:val="1AC209D8"/>
    <w:rsid w:val="1AD04ABD"/>
    <w:rsid w:val="1B1428AC"/>
    <w:rsid w:val="1B9C18D3"/>
    <w:rsid w:val="1C1A17E3"/>
    <w:rsid w:val="1C2412A0"/>
    <w:rsid w:val="1CF13BA5"/>
    <w:rsid w:val="1D3A4289"/>
    <w:rsid w:val="1D6C6E02"/>
    <w:rsid w:val="1D6D7A89"/>
    <w:rsid w:val="1DC72164"/>
    <w:rsid w:val="1DCB30FA"/>
    <w:rsid w:val="1E05249D"/>
    <w:rsid w:val="1E967FBE"/>
    <w:rsid w:val="1ED011A8"/>
    <w:rsid w:val="1FC658C9"/>
    <w:rsid w:val="20872A44"/>
    <w:rsid w:val="21B24950"/>
    <w:rsid w:val="226A0D12"/>
    <w:rsid w:val="227609CD"/>
    <w:rsid w:val="22EF4B6F"/>
    <w:rsid w:val="23741A94"/>
    <w:rsid w:val="23B751E1"/>
    <w:rsid w:val="24205B69"/>
    <w:rsid w:val="24F222C3"/>
    <w:rsid w:val="254055CD"/>
    <w:rsid w:val="25FF40BF"/>
    <w:rsid w:val="260121AA"/>
    <w:rsid w:val="27B4555D"/>
    <w:rsid w:val="28490153"/>
    <w:rsid w:val="28B40790"/>
    <w:rsid w:val="294066EC"/>
    <w:rsid w:val="29C31BF9"/>
    <w:rsid w:val="2BBC4E7D"/>
    <w:rsid w:val="2C8B5ED0"/>
    <w:rsid w:val="2D1C7470"/>
    <w:rsid w:val="2D6F5802"/>
    <w:rsid w:val="2DA82AB1"/>
    <w:rsid w:val="2DED0882"/>
    <w:rsid w:val="2EFF1B09"/>
    <w:rsid w:val="308F0891"/>
    <w:rsid w:val="32937389"/>
    <w:rsid w:val="32DD0106"/>
    <w:rsid w:val="33856478"/>
    <w:rsid w:val="33D601A2"/>
    <w:rsid w:val="34A32BE1"/>
    <w:rsid w:val="34FB0485"/>
    <w:rsid w:val="35007E14"/>
    <w:rsid w:val="35915F58"/>
    <w:rsid w:val="35B56411"/>
    <w:rsid w:val="37270EEB"/>
    <w:rsid w:val="37BA3EC7"/>
    <w:rsid w:val="37F0126C"/>
    <w:rsid w:val="38530FFA"/>
    <w:rsid w:val="39916D19"/>
    <w:rsid w:val="39A732AF"/>
    <w:rsid w:val="3AE15A01"/>
    <w:rsid w:val="3B7135F5"/>
    <w:rsid w:val="3B9F77B5"/>
    <w:rsid w:val="3BA448B8"/>
    <w:rsid w:val="3BDF1D94"/>
    <w:rsid w:val="3C8B0D40"/>
    <w:rsid w:val="3DE8158B"/>
    <w:rsid w:val="3E947D65"/>
    <w:rsid w:val="3F3F723F"/>
    <w:rsid w:val="3F47212A"/>
    <w:rsid w:val="401B3526"/>
    <w:rsid w:val="40FE7355"/>
    <w:rsid w:val="41E9396D"/>
    <w:rsid w:val="42134384"/>
    <w:rsid w:val="42D16AA7"/>
    <w:rsid w:val="43505326"/>
    <w:rsid w:val="43857DE4"/>
    <w:rsid w:val="43B4696F"/>
    <w:rsid w:val="43F233F4"/>
    <w:rsid w:val="44EE2CC9"/>
    <w:rsid w:val="454758F4"/>
    <w:rsid w:val="456A6B0F"/>
    <w:rsid w:val="45CF4855"/>
    <w:rsid w:val="47CB77F3"/>
    <w:rsid w:val="48683F8B"/>
    <w:rsid w:val="49205A9F"/>
    <w:rsid w:val="496D4E83"/>
    <w:rsid w:val="49AE700C"/>
    <w:rsid w:val="49C275E8"/>
    <w:rsid w:val="4A4503CE"/>
    <w:rsid w:val="4ADE4A09"/>
    <w:rsid w:val="4B5819CE"/>
    <w:rsid w:val="4C7C39D6"/>
    <w:rsid w:val="4E6623B4"/>
    <w:rsid w:val="4E8D5680"/>
    <w:rsid w:val="4E9961AD"/>
    <w:rsid w:val="50960488"/>
    <w:rsid w:val="50BA4B66"/>
    <w:rsid w:val="515E12DA"/>
    <w:rsid w:val="51AE0B2D"/>
    <w:rsid w:val="52702F0D"/>
    <w:rsid w:val="52CA44F1"/>
    <w:rsid w:val="52CB65DD"/>
    <w:rsid w:val="534D35A7"/>
    <w:rsid w:val="54745318"/>
    <w:rsid w:val="54830740"/>
    <w:rsid w:val="54F24225"/>
    <w:rsid w:val="554C3ECA"/>
    <w:rsid w:val="55F86EB3"/>
    <w:rsid w:val="5682006C"/>
    <w:rsid w:val="57E030D0"/>
    <w:rsid w:val="57FD4FD8"/>
    <w:rsid w:val="582D46AD"/>
    <w:rsid w:val="583A1CF9"/>
    <w:rsid w:val="5A3C4164"/>
    <w:rsid w:val="5A7B0A82"/>
    <w:rsid w:val="5AD36E8F"/>
    <w:rsid w:val="5AE453E0"/>
    <w:rsid w:val="5B371492"/>
    <w:rsid w:val="5B8B6871"/>
    <w:rsid w:val="5CAB3407"/>
    <w:rsid w:val="5CC93131"/>
    <w:rsid w:val="5D2B7D47"/>
    <w:rsid w:val="5D2E4F87"/>
    <w:rsid w:val="5DE362CD"/>
    <w:rsid w:val="5E11286C"/>
    <w:rsid w:val="5E5D0BCB"/>
    <w:rsid w:val="5EFA2699"/>
    <w:rsid w:val="5F281BE0"/>
    <w:rsid w:val="608E4F8C"/>
    <w:rsid w:val="611208DE"/>
    <w:rsid w:val="61285761"/>
    <w:rsid w:val="62A06DB8"/>
    <w:rsid w:val="64322807"/>
    <w:rsid w:val="650E70C3"/>
    <w:rsid w:val="651E0AC9"/>
    <w:rsid w:val="66FA2174"/>
    <w:rsid w:val="68D22555"/>
    <w:rsid w:val="692A2B7E"/>
    <w:rsid w:val="6A67367F"/>
    <w:rsid w:val="6C215487"/>
    <w:rsid w:val="6C522A50"/>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212049"/>
    <w:rsid w:val="74305BA0"/>
    <w:rsid w:val="75342028"/>
    <w:rsid w:val="757869A6"/>
    <w:rsid w:val="75BA6839"/>
    <w:rsid w:val="765D013A"/>
    <w:rsid w:val="768E35ED"/>
    <w:rsid w:val="76B14411"/>
    <w:rsid w:val="76DB492B"/>
    <w:rsid w:val="77EE4F4C"/>
    <w:rsid w:val="781D2934"/>
    <w:rsid w:val="798412AA"/>
    <w:rsid w:val="7A235C9B"/>
    <w:rsid w:val="7AA23E98"/>
    <w:rsid w:val="7B063989"/>
    <w:rsid w:val="7B090B45"/>
    <w:rsid w:val="7B403C7D"/>
    <w:rsid w:val="7C3F5EDB"/>
    <w:rsid w:val="7D1C3FA7"/>
    <w:rsid w:val="7D692C90"/>
    <w:rsid w:val="7E247357"/>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5841</Words>
  <Characters>6202</Characters>
  <Lines>70</Lines>
  <Paragraphs>19</Paragraphs>
  <TotalTime>2</TotalTime>
  <ScaleCrop>false</ScaleCrop>
  <LinksUpToDate>false</LinksUpToDate>
  <CharactersWithSpaces>6434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库巴</cp:lastModifiedBy>
  <cp:lastPrinted>2017-05-26T06:04:00Z</cp:lastPrinted>
  <dcterms:modified xsi:type="dcterms:W3CDTF">2024-09-03T08:03:05Z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C7204958B2FB4F9BA123E38E5E8DD426_13</vt:lpwstr>
  </property>
</Properties>
</file>