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F967DA">
      <w:pPr>
        <w:spacing w:line="360" w:lineRule="auto"/>
        <w:ind w:left="0" w:leftChars="0" w:firstLine="0" w:firstLineChars="0"/>
        <w:jc w:val="center"/>
        <w:rPr>
          <w:rFonts w:hint="eastAsia" w:ascii="宋体" w:hAnsi="宋体"/>
          <w:b/>
          <w:color w:val="auto"/>
          <w:spacing w:val="10"/>
          <w:sz w:val="48"/>
          <w:szCs w:val="48"/>
          <w:highlight w:val="none"/>
        </w:rPr>
      </w:pPr>
      <w:r>
        <w:rPr>
          <w:color w:val="000000"/>
        </w:rPr>
        <w:drawing>
          <wp:anchor distT="0" distB="0" distL="114300" distR="114300" simplePos="0" relativeHeight="251659264" behindDoc="0" locked="0" layoutInCell="1" allowOverlap="1">
            <wp:simplePos x="0" y="0"/>
            <wp:positionH relativeFrom="column">
              <wp:posOffset>33655</wp:posOffset>
            </wp:positionH>
            <wp:positionV relativeFrom="paragraph">
              <wp:posOffset>5715</wp:posOffset>
            </wp:positionV>
            <wp:extent cx="860425" cy="781050"/>
            <wp:effectExtent l="0" t="0" r="0" b="0"/>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5"/>
                    <a:stretch>
                      <a:fillRect/>
                    </a:stretch>
                  </pic:blipFill>
                  <pic:spPr>
                    <a:xfrm>
                      <a:off x="0" y="0"/>
                      <a:ext cx="860425" cy="781050"/>
                    </a:xfrm>
                    <a:prstGeom prst="rect">
                      <a:avLst/>
                    </a:prstGeom>
                    <a:noFill/>
                    <a:ln>
                      <a:noFill/>
                    </a:ln>
                  </pic:spPr>
                </pic:pic>
              </a:graphicData>
            </a:graphic>
          </wp:anchor>
        </w:drawing>
      </w:r>
    </w:p>
    <w:p w14:paraId="7F9BC33E">
      <w:pPr>
        <w:spacing w:line="360" w:lineRule="auto"/>
        <w:ind w:left="0" w:leftChars="0" w:firstLine="0" w:firstLineChars="0"/>
        <w:jc w:val="center"/>
        <w:rPr>
          <w:rFonts w:hint="eastAsia" w:ascii="宋体" w:hAnsi="宋体"/>
          <w:b/>
          <w:color w:val="auto"/>
          <w:spacing w:val="10"/>
          <w:sz w:val="48"/>
          <w:szCs w:val="48"/>
          <w:highlight w:val="none"/>
          <w:lang w:eastAsia="zh-CN"/>
        </w:rPr>
      </w:pPr>
    </w:p>
    <w:p w14:paraId="65DDC25D">
      <w:pPr>
        <w:spacing w:line="360" w:lineRule="auto"/>
        <w:ind w:left="0" w:leftChars="0" w:firstLine="0" w:firstLineChars="0"/>
        <w:jc w:val="center"/>
        <w:rPr>
          <w:rFonts w:hint="eastAsia" w:ascii="宋体" w:hAnsi="宋体"/>
          <w:b/>
          <w:color w:val="auto"/>
          <w:spacing w:val="10"/>
          <w:sz w:val="36"/>
          <w:szCs w:val="36"/>
          <w:highlight w:val="none"/>
          <w:lang w:eastAsia="zh-CN"/>
        </w:rPr>
      </w:pPr>
      <w:permStart w:id="0" w:edGrp="everyone"/>
      <w:r>
        <w:rPr>
          <w:rFonts w:hint="eastAsia" w:ascii="宋体" w:hAnsi="宋体"/>
          <w:b/>
          <w:color w:val="auto"/>
          <w:spacing w:val="10"/>
          <w:sz w:val="36"/>
          <w:szCs w:val="36"/>
          <w:highlight w:val="none"/>
          <w:u w:val="single"/>
          <w:lang w:eastAsia="zh-CN"/>
        </w:rPr>
        <w:t>浙石化2025炼油芳烃事业部大修(</w:t>
      </w:r>
      <w:r>
        <w:rPr>
          <w:rFonts w:hint="eastAsia" w:ascii="宋体" w:hAnsi="宋体"/>
          <w:b/>
          <w:color w:val="auto"/>
          <w:spacing w:val="10"/>
          <w:sz w:val="36"/>
          <w:szCs w:val="36"/>
          <w:highlight w:val="none"/>
          <w:u w:val="single"/>
          <w:lang w:val="en-US" w:eastAsia="zh-CN"/>
        </w:rPr>
        <w:t>1#气提、2#硫磺、4#硫磺</w:t>
      </w:r>
      <w:r>
        <w:rPr>
          <w:rFonts w:hint="eastAsia" w:ascii="宋体" w:hAnsi="宋体"/>
          <w:b/>
          <w:color w:val="auto"/>
          <w:spacing w:val="10"/>
          <w:sz w:val="36"/>
          <w:szCs w:val="36"/>
          <w:highlight w:val="none"/>
          <w:u w:val="single"/>
          <w:lang w:eastAsia="zh-CN"/>
        </w:rPr>
        <w:t>)项目隐患消缺中补焊及管道技改</w:t>
      </w:r>
      <w:r>
        <w:rPr>
          <w:rFonts w:hint="eastAsia" w:ascii="宋体" w:hAnsi="宋体"/>
          <w:b/>
          <w:color w:val="auto"/>
          <w:spacing w:val="10"/>
          <w:sz w:val="36"/>
          <w:szCs w:val="36"/>
          <w:highlight w:val="none"/>
          <w:u w:val="single"/>
          <w:lang w:val="en-US" w:eastAsia="zh-CN"/>
        </w:rPr>
        <w:t>等</w:t>
      </w:r>
      <w:r>
        <w:rPr>
          <w:rFonts w:hint="eastAsia" w:ascii="宋体" w:hAnsi="宋体"/>
          <w:b/>
          <w:color w:val="auto"/>
          <w:spacing w:val="10"/>
          <w:sz w:val="36"/>
          <w:szCs w:val="36"/>
          <w:highlight w:val="none"/>
          <w:u w:val="single"/>
          <w:lang w:eastAsia="zh-CN"/>
        </w:rPr>
        <w:t>施工内容</w:t>
      </w:r>
      <w:permEnd w:id="0"/>
      <w:r>
        <w:rPr>
          <w:rFonts w:hint="eastAsia" w:ascii="宋体" w:hAnsi="宋体"/>
          <w:b/>
          <w:color w:val="auto"/>
          <w:spacing w:val="10"/>
          <w:sz w:val="36"/>
          <w:szCs w:val="36"/>
          <w:highlight w:val="none"/>
          <w:lang w:eastAsia="zh-CN"/>
        </w:rPr>
        <w:t>劳务分包</w:t>
      </w:r>
    </w:p>
    <w:p w14:paraId="6A7CCD1C">
      <w:pPr>
        <w:rPr>
          <w:rFonts w:hint="eastAsia"/>
          <w:color w:val="000000"/>
          <w:sz w:val="28"/>
          <w:highlight w:val="none"/>
        </w:rPr>
      </w:pPr>
    </w:p>
    <w:p w14:paraId="4A11CDB3">
      <w:pPr>
        <w:jc w:val="center"/>
        <w:rPr>
          <w:rFonts w:hint="eastAsia"/>
          <w:color w:val="000000"/>
          <w:sz w:val="28"/>
          <w:highlight w:val="none"/>
        </w:rPr>
      </w:pPr>
    </w:p>
    <w:p w14:paraId="1D9B5FA9">
      <w:pPr>
        <w:jc w:val="both"/>
        <w:rPr>
          <w:rFonts w:hint="eastAsia"/>
          <w:color w:val="000000"/>
          <w:sz w:val="28"/>
          <w:highlight w:val="none"/>
        </w:rPr>
      </w:pPr>
    </w:p>
    <w:p w14:paraId="0D78C5F5">
      <w:pPr>
        <w:jc w:val="center"/>
        <w:rPr>
          <w:rFonts w:hint="eastAsia"/>
          <w:color w:val="000000"/>
          <w:sz w:val="52"/>
          <w:highlight w:val="none"/>
        </w:rPr>
      </w:pPr>
    </w:p>
    <w:p w14:paraId="54D937E6">
      <w:pPr>
        <w:jc w:val="center"/>
        <w:rPr>
          <w:rFonts w:hint="eastAsia"/>
          <w:color w:val="000000"/>
          <w:sz w:val="52"/>
          <w:highlight w:val="none"/>
        </w:rPr>
      </w:pPr>
      <w:r>
        <w:rPr>
          <w:rFonts w:hint="eastAsia"/>
          <w:color w:val="000000"/>
          <w:sz w:val="52"/>
          <w:highlight w:val="none"/>
        </w:rPr>
        <w:t>招</w:t>
      </w:r>
    </w:p>
    <w:p w14:paraId="2590A068">
      <w:pPr>
        <w:jc w:val="center"/>
        <w:rPr>
          <w:rFonts w:hint="eastAsia"/>
          <w:color w:val="000000"/>
          <w:sz w:val="52"/>
          <w:highlight w:val="none"/>
        </w:rPr>
      </w:pPr>
    </w:p>
    <w:p w14:paraId="4231CBB0">
      <w:pPr>
        <w:jc w:val="center"/>
        <w:rPr>
          <w:rFonts w:hint="eastAsia"/>
          <w:color w:val="000000"/>
          <w:sz w:val="52"/>
          <w:highlight w:val="none"/>
        </w:rPr>
      </w:pPr>
      <w:r>
        <w:rPr>
          <w:rFonts w:hint="eastAsia"/>
          <w:color w:val="000000"/>
          <w:sz w:val="52"/>
          <w:highlight w:val="none"/>
        </w:rPr>
        <w:t>标</w:t>
      </w:r>
    </w:p>
    <w:p w14:paraId="18DD12D5">
      <w:pPr>
        <w:jc w:val="center"/>
        <w:rPr>
          <w:rFonts w:hint="eastAsia"/>
          <w:color w:val="000000"/>
          <w:sz w:val="52"/>
          <w:highlight w:val="none"/>
        </w:rPr>
      </w:pPr>
    </w:p>
    <w:p w14:paraId="11FBA5FD">
      <w:pPr>
        <w:jc w:val="center"/>
        <w:rPr>
          <w:rFonts w:hint="eastAsia"/>
          <w:color w:val="000000"/>
          <w:sz w:val="52"/>
          <w:highlight w:val="none"/>
        </w:rPr>
      </w:pPr>
      <w:r>
        <w:rPr>
          <w:rFonts w:hint="eastAsia"/>
          <w:color w:val="000000"/>
          <w:sz w:val="52"/>
          <w:highlight w:val="none"/>
        </w:rPr>
        <w:t>文</w:t>
      </w:r>
    </w:p>
    <w:p w14:paraId="1A4762D7">
      <w:pPr>
        <w:jc w:val="center"/>
        <w:rPr>
          <w:rFonts w:hint="eastAsia"/>
          <w:color w:val="000000"/>
          <w:sz w:val="52"/>
          <w:highlight w:val="none"/>
        </w:rPr>
      </w:pPr>
    </w:p>
    <w:p w14:paraId="75B72434">
      <w:pPr>
        <w:jc w:val="center"/>
        <w:rPr>
          <w:rFonts w:hint="eastAsia"/>
          <w:color w:val="000000"/>
          <w:sz w:val="52"/>
          <w:highlight w:val="none"/>
        </w:rPr>
      </w:pPr>
      <w:r>
        <w:rPr>
          <w:rFonts w:hint="eastAsia"/>
          <w:color w:val="000000"/>
          <w:sz w:val="52"/>
          <w:highlight w:val="none"/>
        </w:rPr>
        <w:t>件</w:t>
      </w:r>
    </w:p>
    <w:p w14:paraId="4EFDF3DD">
      <w:pPr>
        <w:jc w:val="center"/>
        <w:rPr>
          <w:rFonts w:hint="eastAsia"/>
          <w:color w:val="000000"/>
          <w:sz w:val="28"/>
          <w:highlight w:val="none"/>
        </w:rPr>
      </w:pPr>
    </w:p>
    <w:p w14:paraId="4DED8163">
      <w:pPr>
        <w:jc w:val="center"/>
        <w:rPr>
          <w:rFonts w:hint="eastAsia"/>
          <w:color w:val="000000"/>
          <w:sz w:val="28"/>
          <w:highlight w:val="none"/>
        </w:rPr>
      </w:pPr>
    </w:p>
    <w:p w14:paraId="631DAA8E">
      <w:pPr>
        <w:jc w:val="center"/>
        <w:rPr>
          <w:rFonts w:hint="eastAsia"/>
          <w:color w:val="000000"/>
          <w:sz w:val="28"/>
          <w:highlight w:val="none"/>
        </w:rPr>
      </w:pPr>
    </w:p>
    <w:p w14:paraId="6DB13182">
      <w:pPr>
        <w:jc w:val="both"/>
        <w:rPr>
          <w:rFonts w:hint="eastAsia"/>
          <w:color w:val="000000"/>
          <w:sz w:val="28"/>
          <w:highlight w:val="none"/>
        </w:rPr>
      </w:pPr>
    </w:p>
    <w:p w14:paraId="0D64E3B7">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9"/>
        <w:rPr>
          <w:rFonts w:hint="eastAsia" w:ascii="Times New Roman" w:hAnsi="Times New Roman" w:eastAsia="宋体" w:cs="Times New Roman"/>
          <w:color w:val="000000"/>
          <w:sz w:val="30"/>
          <w:highlight w:val="none"/>
          <w:lang w:val="en-US" w:eastAsia="zh-CN"/>
        </w:rPr>
      </w:pPr>
    </w:p>
    <w:p w14:paraId="03D601F9">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9"/>
        <w:rPr>
          <w:rFonts w:hint="default" w:ascii="Times New Roman" w:hAnsi="Times New Roman" w:cs="Times New Roman"/>
          <w:color w:val="000000"/>
          <w:sz w:val="30"/>
          <w:highlight w:val="none"/>
          <w:lang w:val="en-US" w:eastAsia="zh-CN"/>
        </w:rPr>
      </w:pPr>
      <w:r>
        <w:rPr>
          <w:rFonts w:hint="eastAsia"/>
          <w:color w:val="000000"/>
          <w:sz w:val="30"/>
          <w:highlight w:val="none"/>
        </w:rPr>
        <w:t>招标</w:t>
      </w:r>
      <w:r>
        <w:rPr>
          <w:rFonts w:hint="eastAsia"/>
          <w:color w:val="000000"/>
          <w:sz w:val="30"/>
          <w:highlight w:val="none"/>
          <w:lang w:val="en-US" w:eastAsia="zh-CN"/>
        </w:rPr>
        <w:t xml:space="preserve">人 </w:t>
      </w:r>
      <w:r>
        <w:rPr>
          <w:rFonts w:hint="eastAsia"/>
          <w:color w:val="000000"/>
          <w:sz w:val="30"/>
          <w:highlight w:val="none"/>
        </w:rPr>
        <w:t>：</w:t>
      </w:r>
      <w:r>
        <w:rPr>
          <w:rFonts w:hint="eastAsia" w:cs="Times New Roman"/>
          <w:color w:val="000000"/>
          <w:sz w:val="30"/>
          <w:highlight w:val="none"/>
          <w:lang w:val="en-US" w:eastAsia="zh-CN"/>
        </w:rPr>
        <w:t>福建省工业设备安装有限公司</w:t>
      </w:r>
    </w:p>
    <w:p w14:paraId="1D9E6CEE">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9"/>
        <w:rPr>
          <w:rFonts w:hint="eastAsia"/>
          <w:color w:val="000000"/>
          <w:sz w:val="30"/>
          <w:highlight w:val="none"/>
        </w:rPr>
      </w:pPr>
      <w:permStart w:id="1" w:edGrp="everyone"/>
      <w:bookmarkStart w:id="0" w:name="_Toc205630156"/>
      <w:r>
        <w:rPr>
          <w:rFonts w:hint="eastAsia" w:ascii="宋体" w:hAnsi="宋体" w:cs="宋体"/>
          <w:color w:val="000000"/>
          <w:sz w:val="30"/>
          <w:highlight w:val="none"/>
          <w:lang w:val="en-US" w:eastAsia="zh-CN"/>
        </w:rPr>
        <w:t>2025</w:t>
      </w:r>
      <w:r>
        <w:rPr>
          <w:rFonts w:hint="eastAsia" w:ascii="宋体" w:hAnsi="宋体" w:eastAsia="宋体" w:cs="宋体"/>
          <w:color w:val="000000"/>
          <w:sz w:val="30"/>
          <w:highlight w:val="none"/>
        </w:rPr>
        <w:t>年</w:t>
      </w:r>
      <w:r>
        <w:rPr>
          <w:rFonts w:hint="eastAsia" w:ascii="宋体" w:hAnsi="宋体" w:cs="宋体"/>
          <w:color w:val="000000"/>
          <w:sz w:val="30"/>
          <w:highlight w:val="none"/>
          <w:lang w:val="en-US" w:eastAsia="zh-CN"/>
        </w:rPr>
        <w:t>06</w:t>
      </w:r>
      <w:r>
        <w:rPr>
          <w:rFonts w:hint="eastAsia" w:ascii="宋体" w:hAnsi="宋体" w:eastAsia="宋体" w:cs="宋体"/>
          <w:color w:val="000000"/>
          <w:sz w:val="30"/>
          <w:highlight w:val="none"/>
        </w:rPr>
        <w:t>月</w:t>
      </w:r>
      <w:r>
        <w:rPr>
          <w:rFonts w:hint="eastAsia" w:ascii="宋体" w:hAnsi="宋体" w:cs="宋体"/>
          <w:color w:val="000000"/>
          <w:sz w:val="30"/>
          <w:highlight w:val="none"/>
          <w:lang w:val="en-US" w:eastAsia="zh-CN"/>
        </w:rPr>
        <w:t>23</w:t>
      </w:r>
      <w:r>
        <w:rPr>
          <w:rFonts w:hint="eastAsia" w:ascii="宋体" w:hAnsi="宋体" w:eastAsia="宋体" w:cs="宋体"/>
          <w:color w:val="000000"/>
          <w:sz w:val="30"/>
          <w:highlight w:val="none"/>
          <w:lang w:val="en-US" w:eastAsia="zh-CN"/>
        </w:rPr>
        <w:t>日</w:t>
      </w:r>
      <w:permEnd w:id="1"/>
    </w:p>
    <w:p w14:paraId="76BAFA24">
      <w:pPr>
        <w:keepNext/>
        <w:keepLines/>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
          <w:bCs/>
          <w:color w:val="000000"/>
          <w:sz w:val="32"/>
          <w:szCs w:val="32"/>
          <w:highlight w:val="none"/>
        </w:rPr>
        <w:sectPr>
          <w:pgSz w:w="11907" w:h="16840"/>
          <w:pgMar w:top="1417" w:right="1418" w:bottom="1417" w:left="1418" w:header="850" w:footer="850" w:gutter="0"/>
          <w:pgBorders>
            <w:top w:val="none" w:sz="0" w:space="0"/>
            <w:left w:val="none" w:sz="0" w:space="0"/>
            <w:bottom w:val="none" w:sz="0" w:space="0"/>
            <w:right w:val="none" w:sz="0" w:space="0"/>
          </w:pgBorders>
          <w:cols w:space="0" w:num="1"/>
          <w:rtlGutter w:val="0"/>
          <w:docGrid w:linePitch="326" w:charSpace="0"/>
        </w:sectPr>
      </w:pPr>
    </w:p>
    <w:p w14:paraId="5665F29C">
      <w:pPr>
        <w:keepNext/>
        <w:keepLines/>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Theme="minorEastAsia" w:hAnsiTheme="minorEastAsia" w:eastAsiaTheme="minorEastAsia" w:cstheme="minorEastAsia"/>
          <w:b/>
          <w:bCs/>
          <w:color w:val="000000"/>
          <w:sz w:val="32"/>
          <w:szCs w:val="32"/>
          <w:highlight w:val="none"/>
        </w:rPr>
      </w:pPr>
      <w:r>
        <w:rPr>
          <w:rFonts w:hint="eastAsia" w:asciiTheme="minorEastAsia" w:hAnsiTheme="minorEastAsia" w:eastAsiaTheme="minorEastAsia" w:cstheme="minorEastAsia"/>
          <w:b/>
          <w:bCs/>
          <w:color w:val="000000"/>
          <w:sz w:val="32"/>
          <w:szCs w:val="32"/>
          <w:highlight w:val="none"/>
        </w:rPr>
        <w:t>招标文件目录</w:t>
      </w:r>
      <w:bookmarkEnd w:id="0"/>
    </w:p>
    <w:p w14:paraId="1E65B9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kern w:val="2"/>
          <w:sz w:val="24"/>
          <w:szCs w:val="24"/>
          <w:lang w:val="en-US" w:eastAsia="zh-CN" w:bidi="ar-SA"/>
        </w:rPr>
      </w:pPr>
    </w:p>
    <w:p w14:paraId="4FB7D0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2"/>
          <w:sz w:val="24"/>
          <w:szCs w:val="24"/>
          <w:lang w:val="en-US" w:eastAsia="zh-CN" w:bidi="ar-SA"/>
        </w:rPr>
        <w:t>一、</w:t>
      </w:r>
      <w:r>
        <w:rPr>
          <w:rFonts w:hint="eastAsia" w:ascii="宋体" w:hAnsi="宋体" w:cs="宋体"/>
          <w:color w:val="000000"/>
          <w:kern w:val="2"/>
          <w:sz w:val="24"/>
          <w:szCs w:val="24"/>
          <w:lang w:val="en-US" w:eastAsia="zh-CN" w:bidi="ar-SA"/>
        </w:rPr>
        <w:t>招选公告</w:t>
      </w:r>
      <w:r>
        <w:rPr>
          <w:rFonts w:hint="eastAsia" w:ascii="宋体" w:hAnsi="宋体" w:eastAsia="宋体" w:cs="宋体"/>
          <w:color w:val="000000"/>
          <w:sz w:val="24"/>
          <w:szCs w:val="24"/>
          <w:highlight w:val="none"/>
        </w:rPr>
        <w:t xml:space="preserve">                                  </w:t>
      </w:r>
    </w:p>
    <w:p w14:paraId="3255FA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2"/>
          <w:sz w:val="24"/>
          <w:szCs w:val="24"/>
          <w:lang w:val="en-US" w:eastAsia="zh-CN" w:bidi="ar-SA"/>
        </w:rPr>
        <w:t>二、</w:t>
      </w:r>
      <w:r>
        <w:rPr>
          <w:rFonts w:hint="eastAsia" w:ascii="宋体" w:hAnsi="宋体" w:eastAsia="宋体" w:cs="宋体"/>
          <w:color w:val="000000"/>
          <w:sz w:val="24"/>
          <w:szCs w:val="24"/>
          <w:highlight w:val="none"/>
        </w:rPr>
        <w:t xml:space="preserve">工程范围及技术规范                          </w:t>
      </w:r>
    </w:p>
    <w:p w14:paraId="43B9A9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2"/>
          <w:sz w:val="24"/>
          <w:szCs w:val="24"/>
          <w:lang w:val="en-US" w:eastAsia="zh-CN" w:bidi="ar-SA"/>
        </w:rPr>
        <w:t>三、</w:t>
      </w:r>
      <w:r>
        <w:rPr>
          <w:rFonts w:hint="eastAsia" w:ascii="宋体" w:hAnsi="宋体" w:eastAsia="宋体" w:cs="宋体"/>
          <w:color w:val="000000"/>
          <w:sz w:val="24"/>
          <w:szCs w:val="24"/>
          <w:highlight w:val="none"/>
        </w:rPr>
        <w:t xml:space="preserve">投标须知                                    </w:t>
      </w:r>
    </w:p>
    <w:p w14:paraId="29EB94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2"/>
          <w:sz w:val="24"/>
          <w:szCs w:val="24"/>
          <w:lang w:val="en-US" w:eastAsia="zh-CN" w:bidi="ar-SA"/>
        </w:rPr>
        <w:t>四、</w:t>
      </w:r>
      <w:r>
        <w:rPr>
          <w:rFonts w:hint="eastAsia" w:ascii="宋体" w:hAnsi="宋体" w:eastAsia="宋体" w:cs="宋体"/>
          <w:color w:val="000000"/>
          <w:sz w:val="24"/>
          <w:szCs w:val="24"/>
          <w:highlight w:val="none"/>
        </w:rPr>
        <w:t xml:space="preserve">投标文件的内容与形式 </w:t>
      </w:r>
    </w:p>
    <w:p w14:paraId="644E04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default"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五、分包</w:t>
      </w:r>
      <w:r>
        <w:rPr>
          <w:rFonts w:hint="eastAsia" w:ascii="宋体" w:hAnsi="宋体" w:eastAsia="宋体" w:cs="宋体"/>
          <w:color w:val="000000"/>
          <w:sz w:val="24"/>
          <w:szCs w:val="24"/>
          <w:highlight w:val="none"/>
          <w:lang w:val="en-US" w:eastAsia="zh-CN"/>
        </w:rPr>
        <w:t>合同范本</w:t>
      </w:r>
    </w:p>
    <w:p w14:paraId="1B5766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六、</w:t>
      </w:r>
      <w:r>
        <w:rPr>
          <w:rFonts w:hint="eastAsia" w:ascii="宋体" w:hAnsi="宋体" w:eastAsia="宋体" w:cs="宋体"/>
          <w:color w:val="000000"/>
          <w:sz w:val="24"/>
          <w:szCs w:val="24"/>
          <w:highlight w:val="none"/>
          <w:lang w:val="en-US" w:eastAsia="zh-CN"/>
        </w:rPr>
        <w:t>施工图纸及技术要求</w:t>
      </w:r>
      <w:r>
        <w:rPr>
          <w:rFonts w:hint="eastAsia" w:ascii="宋体" w:hAnsi="宋体" w:cs="宋体"/>
          <w:color w:val="000000"/>
          <w:sz w:val="24"/>
          <w:szCs w:val="24"/>
          <w:highlight w:val="none"/>
          <w:lang w:val="en-US" w:eastAsia="zh-CN"/>
        </w:rPr>
        <w:t>（如有另册提供）</w:t>
      </w:r>
    </w:p>
    <w:p w14:paraId="1EFEB30B">
      <w:pPr>
        <w:rPr>
          <w:rFonts w:hint="eastAsia" w:ascii="宋体" w:hAnsi="宋体" w:eastAsia="宋体" w:cs="宋体"/>
          <w:b/>
          <w:bCs/>
          <w:spacing w:val="7"/>
          <w:sz w:val="32"/>
          <w:szCs w:val="32"/>
        </w:rPr>
      </w:pPr>
      <w:bookmarkStart w:id="1" w:name="_Toc205630157"/>
      <w:r>
        <w:rPr>
          <w:rFonts w:hint="eastAsia" w:ascii="宋体" w:hAnsi="宋体" w:eastAsia="宋体" w:cs="宋体"/>
          <w:b/>
          <w:bCs/>
          <w:spacing w:val="7"/>
          <w:sz w:val="32"/>
          <w:szCs w:val="32"/>
        </w:rPr>
        <w:br w:type="page"/>
      </w:r>
    </w:p>
    <w:p w14:paraId="7A1A2D4F">
      <w:pPr>
        <w:pStyle w:val="6"/>
        <w:keepNext w:val="0"/>
        <w:keepLines w:val="0"/>
        <w:pageBreakBefore w:val="0"/>
        <w:widowControl/>
        <w:kinsoku w:val="0"/>
        <w:wordWrap/>
        <w:overflowPunct/>
        <w:topLinePunct w:val="0"/>
        <w:autoSpaceDE w:val="0"/>
        <w:autoSpaceDN w:val="0"/>
        <w:bidi w:val="0"/>
        <w:adjustRightInd w:val="0"/>
        <w:snapToGrid w:val="0"/>
        <w:spacing w:before="327" w:beforeLines="100" w:after="327" w:afterLines="100" w:line="240" w:lineRule="auto"/>
        <w:ind w:left="0" w:right="0" w:firstLine="0"/>
        <w:textAlignment w:val="baseline"/>
        <w:outlineLvl w:val="0"/>
        <w:rPr>
          <w:rFonts w:hint="eastAsia" w:ascii="宋体" w:hAnsi="宋体" w:eastAsia="宋体" w:cs="宋体"/>
          <w:sz w:val="32"/>
          <w:szCs w:val="32"/>
          <w:highlight w:val="none"/>
        </w:rPr>
      </w:pPr>
      <w:r>
        <w:rPr>
          <w:rFonts w:hint="eastAsia" w:ascii="宋体" w:hAnsi="宋体" w:eastAsia="宋体" w:cs="宋体"/>
          <w:b/>
          <w:bCs/>
          <w:spacing w:val="7"/>
          <w:sz w:val="32"/>
          <w:szCs w:val="32"/>
          <w:highlight w:val="none"/>
        </w:rPr>
        <w:t>一、招选公告</w:t>
      </w:r>
    </w:p>
    <w:p w14:paraId="0EE80CDB">
      <w:pPr>
        <w:pStyle w:val="6"/>
        <w:keepNext w:val="0"/>
        <w:keepLines w:val="0"/>
        <w:pageBreakBefore w:val="0"/>
        <w:widowControl/>
        <w:kinsoku w:val="0"/>
        <w:wordWrap/>
        <w:overflowPunct/>
        <w:topLinePunct w:val="0"/>
        <w:autoSpaceDE w:val="0"/>
        <w:autoSpaceDN w:val="0"/>
        <w:bidi w:val="0"/>
        <w:adjustRightInd w:val="0"/>
        <w:snapToGrid w:val="0"/>
        <w:spacing w:before="164" w:beforeLines="50" w:after="164" w:afterLines="50" w:line="360" w:lineRule="auto"/>
        <w:ind w:left="0" w:right="0" w:firstLine="0"/>
        <w:textAlignment w:val="baseline"/>
        <w:outlineLvl w:val="1"/>
        <w:rPr>
          <w:rFonts w:hint="eastAsia" w:ascii="宋体" w:hAnsi="宋体" w:eastAsia="宋体" w:cs="宋体"/>
          <w:sz w:val="28"/>
          <w:szCs w:val="28"/>
        </w:rPr>
      </w:pPr>
      <w:r>
        <w:rPr>
          <w:rFonts w:hint="eastAsia" w:ascii="宋体" w:hAnsi="宋体" w:eastAsia="宋体" w:cs="宋体"/>
          <w:b/>
          <w:bCs/>
          <w:spacing w:val="-11"/>
          <w:sz w:val="28"/>
          <w:szCs w:val="28"/>
        </w:rPr>
        <w:t>1</w:t>
      </w:r>
      <w:r>
        <w:rPr>
          <w:rFonts w:hint="eastAsia" w:ascii="宋体" w:hAnsi="宋体" w:eastAsia="宋体" w:cs="宋体"/>
          <w:b/>
          <w:bCs/>
          <w:spacing w:val="-11"/>
          <w:sz w:val="28"/>
          <w:szCs w:val="28"/>
          <w:lang w:val="en-US" w:eastAsia="zh-CN"/>
        </w:rPr>
        <w:t>.</w:t>
      </w:r>
      <w:r>
        <w:rPr>
          <w:rFonts w:hint="eastAsia" w:ascii="宋体" w:hAnsi="宋体" w:eastAsia="宋体" w:cs="宋体"/>
          <w:b/>
          <w:bCs/>
          <w:spacing w:val="-11"/>
          <w:sz w:val="28"/>
          <w:szCs w:val="28"/>
        </w:rPr>
        <w:t>总则</w:t>
      </w:r>
    </w:p>
    <w:p w14:paraId="1226797B">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z w:val="24"/>
          <w:szCs w:val="24"/>
        </w:rPr>
      </w:pPr>
      <w:r>
        <w:rPr>
          <w:rFonts w:hint="eastAsia" w:ascii="宋体" w:hAnsi="宋体" w:eastAsia="宋体" w:cs="宋体"/>
          <w:spacing w:val="-2"/>
          <w:sz w:val="24"/>
          <w:szCs w:val="24"/>
        </w:rPr>
        <w:t>1.1</w:t>
      </w: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投标文件必须实质响应招标文件的要求，并不得在投标文</w:t>
      </w:r>
      <w:r>
        <w:rPr>
          <w:rFonts w:hint="eastAsia" w:ascii="宋体" w:hAnsi="宋体" w:eastAsia="宋体" w:cs="宋体"/>
          <w:spacing w:val="-3"/>
          <w:sz w:val="24"/>
          <w:szCs w:val="24"/>
        </w:rPr>
        <w:t>件中提出自己的附加条件，否则招标人有权将其投标文件视为废标。投标人应对招标文件</w:t>
      </w:r>
      <w:r>
        <w:rPr>
          <w:rFonts w:hint="eastAsia" w:ascii="宋体" w:hAnsi="宋体" w:eastAsia="宋体" w:cs="宋体"/>
          <w:spacing w:val="-4"/>
          <w:sz w:val="24"/>
          <w:szCs w:val="24"/>
        </w:rPr>
        <w:t>的内</w:t>
      </w:r>
      <w:r>
        <w:rPr>
          <w:rFonts w:hint="eastAsia" w:ascii="宋体" w:hAnsi="宋体" w:eastAsia="宋体" w:cs="宋体"/>
          <w:spacing w:val="-3"/>
          <w:sz w:val="24"/>
          <w:szCs w:val="24"/>
        </w:rPr>
        <w:t>容进行全面深入的理解和考虑，任何由于投标人的遗漏和疏忽所产生的后果</w:t>
      </w:r>
      <w:r>
        <w:rPr>
          <w:rFonts w:hint="eastAsia" w:ascii="宋体" w:hAnsi="宋体" w:eastAsia="宋体" w:cs="宋体"/>
          <w:spacing w:val="-4"/>
          <w:sz w:val="24"/>
          <w:szCs w:val="24"/>
        </w:rPr>
        <w:t>均由</w:t>
      </w:r>
      <w:r>
        <w:rPr>
          <w:rFonts w:hint="eastAsia" w:ascii="宋体" w:hAnsi="宋体" w:eastAsia="宋体" w:cs="宋体"/>
          <w:spacing w:val="-3"/>
          <w:sz w:val="24"/>
          <w:szCs w:val="24"/>
        </w:rPr>
        <w:t>投标人自负。</w:t>
      </w:r>
    </w:p>
    <w:p w14:paraId="3966BA52">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z w:val="24"/>
          <w:szCs w:val="24"/>
        </w:rPr>
      </w:pPr>
      <w:r>
        <w:rPr>
          <w:rFonts w:hint="eastAsia" w:ascii="宋体" w:hAnsi="宋体" w:eastAsia="宋体" w:cs="宋体"/>
          <w:spacing w:val="-2"/>
          <w:sz w:val="24"/>
          <w:szCs w:val="24"/>
        </w:rPr>
        <w:t>1.2</w:t>
      </w: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任何参与投标的人对招标文件中所涉及的信息负有保密责任，任</w:t>
      </w:r>
      <w:r>
        <w:rPr>
          <w:rFonts w:hint="eastAsia" w:ascii="宋体" w:hAnsi="宋体" w:eastAsia="宋体" w:cs="宋体"/>
          <w:spacing w:val="-3"/>
          <w:sz w:val="24"/>
          <w:szCs w:val="24"/>
        </w:rPr>
        <w:t>何情况</w:t>
      </w:r>
      <w:r>
        <w:rPr>
          <w:rFonts w:hint="eastAsia" w:ascii="宋体" w:hAnsi="宋体" w:eastAsia="宋体" w:cs="宋体"/>
          <w:spacing w:val="-1"/>
          <w:sz w:val="24"/>
          <w:szCs w:val="24"/>
        </w:rPr>
        <w:t>下，未经招标人许可，投标人均不得将其内容外泄、复制或用于其它用途。</w:t>
      </w:r>
    </w:p>
    <w:p w14:paraId="0B63F5EA">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64" w:firstLineChars="200"/>
        <w:jc w:val="left"/>
        <w:textAlignment w:val="baseline"/>
        <w:rPr>
          <w:rFonts w:hint="eastAsia" w:ascii="宋体" w:hAnsi="宋体" w:eastAsia="宋体" w:cs="宋体"/>
          <w:sz w:val="24"/>
          <w:szCs w:val="24"/>
        </w:rPr>
      </w:pPr>
      <w:r>
        <w:rPr>
          <w:rFonts w:hint="eastAsia" w:ascii="宋体" w:hAnsi="宋体" w:eastAsia="宋体" w:cs="宋体"/>
          <w:spacing w:val="-4"/>
          <w:sz w:val="24"/>
          <w:szCs w:val="24"/>
        </w:rPr>
        <w:t>1.3</w:t>
      </w:r>
      <w:r>
        <w:rPr>
          <w:rFonts w:hint="eastAsia" w:ascii="宋体" w:hAnsi="宋体" w:eastAsia="宋体" w:cs="宋体"/>
          <w:spacing w:val="-4"/>
          <w:sz w:val="24"/>
          <w:szCs w:val="24"/>
          <w:lang w:val="en-US" w:eastAsia="zh-CN"/>
        </w:rPr>
        <w:t xml:space="preserve"> </w:t>
      </w:r>
      <w:r>
        <w:rPr>
          <w:rFonts w:hint="eastAsia" w:ascii="宋体" w:hAnsi="宋体" w:eastAsia="宋体" w:cs="宋体"/>
          <w:spacing w:val="-4"/>
          <w:sz w:val="24"/>
          <w:szCs w:val="24"/>
        </w:rPr>
        <w:t>投标人应自行承担本次投标过程中可能发生的一切费用，无论中标与否，</w:t>
      </w:r>
      <w:r>
        <w:rPr>
          <w:rFonts w:hint="eastAsia" w:ascii="宋体" w:hAnsi="宋体" w:eastAsia="宋体" w:cs="宋体"/>
          <w:spacing w:val="-1"/>
          <w:sz w:val="24"/>
          <w:szCs w:val="24"/>
        </w:rPr>
        <w:t>投标人的任何费用和损失均与招标人无关。</w:t>
      </w:r>
    </w:p>
    <w:p w14:paraId="772FF0A9">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z w:val="24"/>
          <w:szCs w:val="24"/>
        </w:rPr>
      </w:pPr>
      <w:r>
        <w:rPr>
          <w:rFonts w:hint="eastAsia" w:ascii="宋体" w:hAnsi="宋体" w:eastAsia="宋体" w:cs="宋体"/>
          <w:spacing w:val="-2"/>
          <w:sz w:val="24"/>
          <w:szCs w:val="24"/>
        </w:rPr>
        <w:t>1.4</w:t>
      </w: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投标人一旦参与投标，即被视为完全同意承担参与本工程</w:t>
      </w:r>
      <w:r>
        <w:rPr>
          <w:rFonts w:hint="eastAsia" w:ascii="宋体" w:hAnsi="宋体" w:eastAsia="宋体" w:cs="宋体"/>
          <w:spacing w:val="-3"/>
          <w:sz w:val="24"/>
          <w:szCs w:val="24"/>
        </w:rPr>
        <w:t>投标的全部责</w:t>
      </w:r>
      <w:r>
        <w:rPr>
          <w:rFonts w:hint="eastAsia" w:ascii="宋体" w:hAnsi="宋体" w:eastAsia="宋体" w:cs="宋体"/>
          <w:spacing w:val="-2"/>
          <w:sz w:val="24"/>
          <w:szCs w:val="24"/>
        </w:rPr>
        <w:t>任和义务。</w:t>
      </w:r>
    </w:p>
    <w:p w14:paraId="58F78684">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1.5</w:t>
      </w: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招标人有权不选择最低报价投标文件或任何一份投标文件，也不会对此选择的原因作出解释和说明。</w:t>
      </w:r>
    </w:p>
    <w:p w14:paraId="63B1AE3E">
      <w:pPr>
        <w:pStyle w:val="6"/>
        <w:keepNext w:val="0"/>
        <w:keepLines w:val="0"/>
        <w:pageBreakBefore w:val="0"/>
        <w:widowControl/>
        <w:kinsoku w:val="0"/>
        <w:wordWrap/>
        <w:overflowPunct/>
        <w:topLinePunct w:val="0"/>
        <w:autoSpaceDE w:val="0"/>
        <w:autoSpaceDN w:val="0"/>
        <w:bidi w:val="0"/>
        <w:adjustRightInd w:val="0"/>
        <w:snapToGrid w:val="0"/>
        <w:spacing w:before="164" w:beforeLines="50" w:after="164" w:afterLines="50" w:line="360" w:lineRule="auto"/>
        <w:ind w:left="0" w:right="0" w:firstLine="0"/>
        <w:textAlignment w:val="baseline"/>
        <w:outlineLvl w:val="1"/>
        <w:rPr>
          <w:rFonts w:hint="eastAsia" w:ascii="宋体" w:hAnsi="宋体" w:eastAsia="宋体" w:cs="宋体"/>
          <w:b/>
          <w:bCs/>
          <w:spacing w:val="-11"/>
          <w:sz w:val="28"/>
          <w:szCs w:val="28"/>
        </w:rPr>
      </w:pPr>
      <w:r>
        <w:rPr>
          <w:rFonts w:hint="eastAsia" w:ascii="宋体" w:hAnsi="宋体" w:eastAsia="宋体" w:cs="宋体"/>
          <w:b/>
          <w:bCs/>
          <w:spacing w:val="-11"/>
          <w:sz w:val="28"/>
          <w:szCs w:val="28"/>
        </w:rPr>
        <w:t>2</w:t>
      </w:r>
      <w:r>
        <w:rPr>
          <w:rFonts w:hint="eastAsia" w:ascii="宋体" w:hAnsi="宋体" w:eastAsia="宋体" w:cs="宋体"/>
          <w:b/>
          <w:bCs/>
          <w:spacing w:val="-11"/>
          <w:sz w:val="28"/>
          <w:szCs w:val="28"/>
          <w:lang w:val="en-US" w:eastAsia="zh-CN"/>
        </w:rPr>
        <w:t>.</w:t>
      </w:r>
      <w:r>
        <w:rPr>
          <w:rFonts w:hint="eastAsia" w:ascii="宋体" w:hAnsi="宋体" w:eastAsia="宋体" w:cs="宋体"/>
          <w:b/>
          <w:bCs/>
          <w:spacing w:val="-11"/>
          <w:sz w:val="28"/>
          <w:szCs w:val="28"/>
        </w:rPr>
        <w:t>招选条件</w:t>
      </w:r>
    </w:p>
    <w:p w14:paraId="0AF01400">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highlight w:val="none"/>
          <w:lang w:eastAsia="zh-CN"/>
        </w:rPr>
      </w:pPr>
      <w:r>
        <w:rPr>
          <w:rFonts w:hint="eastAsia" w:ascii="宋体" w:hAnsi="宋体" w:cs="宋体"/>
          <w:spacing w:val="-2"/>
          <w:sz w:val="24"/>
          <w:szCs w:val="24"/>
          <w:highlight w:val="none"/>
          <w:lang w:val="en-US" w:eastAsia="zh-CN"/>
        </w:rPr>
        <w:t>根据</w:t>
      </w:r>
      <w:permStart w:id="2" w:edGrp="everyone"/>
      <w:r>
        <w:rPr>
          <w:rFonts w:hint="eastAsia" w:ascii="宋体" w:hAnsi="宋体" w:cs="宋体"/>
          <w:spacing w:val="-2"/>
          <w:sz w:val="24"/>
          <w:szCs w:val="24"/>
          <w:highlight w:val="none"/>
          <w:lang w:val="en-US" w:eastAsia="zh-CN"/>
        </w:rPr>
        <w:t>浙石化2025炼油芳烃事业部大修(1#气提、2#硫磺、4#硫磺)项目隐患消缺中补焊及管道技改等施工内容</w:t>
      </w:r>
      <w:permEnd w:id="2"/>
      <w:r>
        <w:rPr>
          <w:rFonts w:hint="eastAsia" w:ascii="宋体" w:hAnsi="宋体" w:cs="宋体"/>
          <w:spacing w:val="-2"/>
          <w:sz w:val="24"/>
          <w:szCs w:val="24"/>
          <w:highlight w:val="none"/>
          <w:lang w:val="en-US" w:eastAsia="zh-CN"/>
        </w:rPr>
        <w:t>劳务分包</w:t>
      </w:r>
      <w:r>
        <w:rPr>
          <w:rFonts w:hint="eastAsia" w:ascii="宋体" w:hAnsi="宋体" w:eastAsia="宋体" w:cs="宋体"/>
          <w:spacing w:val="-2"/>
          <w:sz w:val="24"/>
          <w:szCs w:val="24"/>
          <w:highlight w:val="none"/>
        </w:rPr>
        <w:t>的施工需求，现对本项目劳务分包进行招选，对投标人采用资格后审的方式。招选人为福建省</w:t>
      </w:r>
      <w:r>
        <w:rPr>
          <w:rFonts w:hint="eastAsia" w:ascii="宋体" w:hAnsi="宋体" w:eastAsia="宋体" w:cs="宋体"/>
          <w:spacing w:val="-2"/>
          <w:sz w:val="24"/>
          <w:szCs w:val="24"/>
          <w:highlight w:val="none"/>
          <w:lang w:val="en-US" w:eastAsia="zh-CN"/>
        </w:rPr>
        <w:t>工业设备安装有限公司</w:t>
      </w:r>
      <w:r>
        <w:rPr>
          <w:rFonts w:hint="eastAsia" w:ascii="宋体" w:hAnsi="宋体" w:eastAsia="宋体" w:cs="宋体"/>
          <w:spacing w:val="-2"/>
          <w:sz w:val="24"/>
          <w:szCs w:val="24"/>
          <w:highlight w:val="none"/>
          <w:lang w:eastAsia="zh-CN"/>
        </w:rPr>
        <w:t>（</w:t>
      </w:r>
      <w:r>
        <w:rPr>
          <w:rFonts w:hint="eastAsia" w:ascii="宋体" w:hAnsi="宋体" w:eastAsia="宋体" w:cs="宋体"/>
          <w:spacing w:val="-2"/>
          <w:sz w:val="24"/>
          <w:szCs w:val="24"/>
          <w:highlight w:val="none"/>
        </w:rPr>
        <w:t>以下简称“招选人”</w:t>
      </w:r>
      <w:r>
        <w:rPr>
          <w:rFonts w:hint="eastAsia" w:ascii="宋体" w:hAnsi="宋体" w:eastAsia="宋体" w:cs="宋体"/>
          <w:spacing w:val="-2"/>
          <w:sz w:val="24"/>
          <w:szCs w:val="24"/>
          <w:highlight w:val="none"/>
          <w:lang w:eastAsia="zh-CN"/>
        </w:rPr>
        <w:t>）</w:t>
      </w:r>
    </w:p>
    <w:p w14:paraId="4A448DC1">
      <w:pPr>
        <w:pStyle w:val="6"/>
        <w:keepNext w:val="0"/>
        <w:keepLines w:val="0"/>
        <w:pageBreakBefore w:val="0"/>
        <w:widowControl/>
        <w:kinsoku w:val="0"/>
        <w:wordWrap/>
        <w:overflowPunct/>
        <w:topLinePunct w:val="0"/>
        <w:autoSpaceDE w:val="0"/>
        <w:autoSpaceDN w:val="0"/>
        <w:bidi w:val="0"/>
        <w:adjustRightInd w:val="0"/>
        <w:snapToGrid w:val="0"/>
        <w:spacing w:before="164" w:beforeLines="50" w:after="164" w:afterLines="50" w:line="360" w:lineRule="auto"/>
        <w:ind w:left="0" w:right="0" w:firstLine="0"/>
        <w:textAlignment w:val="baseline"/>
        <w:outlineLvl w:val="1"/>
        <w:rPr>
          <w:rFonts w:hint="eastAsia" w:ascii="宋体" w:hAnsi="宋体" w:eastAsia="宋体" w:cs="宋体"/>
          <w:b/>
          <w:bCs/>
          <w:spacing w:val="-11"/>
          <w:sz w:val="28"/>
          <w:szCs w:val="28"/>
        </w:rPr>
      </w:pPr>
      <w:r>
        <w:rPr>
          <w:rFonts w:hint="eastAsia" w:ascii="宋体" w:hAnsi="宋体" w:eastAsia="宋体" w:cs="宋体"/>
          <w:b/>
          <w:bCs/>
          <w:spacing w:val="-11"/>
          <w:sz w:val="28"/>
          <w:szCs w:val="28"/>
        </w:rPr>
        <w:t>3.项目概况与招选范围</w:t>
      </w:r>
    </w:p>
    <w:p w14:paraId="40B77E7C">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default" w:ascii="宋体" w:hAnsi="宋体" w:eastAsia="宋体" w:cs="宋体"/>
          <w:spacing w:val="-2"/>
          <w:sz w:val="24"/>
          <w:szCs w:val="24"/>
          <w:highlight w:val="none"/>
          <w:lang w:val="en-US"/>
        </w:rPr>
      </w:pPr>
      <w:r>
        <w:rPr>
          <w:rFonts w:hint="eastAsia" w:ascii="宋体" w:hAnsi="宋体" w:eastAsia="宋体" w:cs="宋体"/>
          <w:spacing w:val="-2"/>
          <w:sz w:val="24"/>
          <w:szCs w:val="24"/>
          <w:highlight w:val="none"/>
          <w:lang w:val="en-US" w:eastAsia="zh-CN"/>
        </w:rPr>
        <w:t xml:space="preserve">3.1 </w:t>
      </w:r>
      <w:r>
        <w:rPr>
          <w:rFonts w:hint="eastAsia" w:ascii="宋体" w:hAnsi="宋体" w:eastAsia="宋体" w:cs="宋体"/>
          <w:spacing w:val="-2"/>
          <w:sz w:val="24"/>
          <w:szCs w:val="24"/>
          <w:highlight w:val="none"/>
        </w:rPr>
        <w:t>工程名称：</w:t>
      </w:r>
      <w:permStart w:id="3" w:edGrp="everyone"/>
      <w:r>
        <w:rPr>
          <w:rFonts w:hint="eastAsia" w:ascii="宋体" w:hAnsi="宋体" w:cs="宋体"/>
          <w:spacing w:val="-2"/>
          <w:sz w:val="24"/>
          <w:szCs w:val="24"/>
          <w:highlight w:val="none"/>
          <w:lang w:val="en-US" w:eastAsia="zh-CN"/>
        </w:rPr>
        <w:t>浙石化2025炼油芳烃事业部大修(1#气提、2#硫磺、4#硫磺)项目隐患消缺中补焊及管道技改等施工内容</w:t>
      </w:r>
      <w:permEnd w:id="3"/>
    </w:p>
    <w:p w14:paraId="65AB9BF6">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 xml:space="preserve">3.2 </w:t>
      </w:r>
      <w:r>
        <w:rPr>
          <w:rFonts w:hint="eastAsia" w:ascii="宋体" w:hAnsi="宋体" w:eastAsia="宋体" w:cs="宋体"/>
          <w:spacing w:val="-2"/>
          <w:sz w:val="24"/>
          <w:szCs w:val="24"/>
        </w:rPr>
        <w:t>工程地点：浙江省舟山市鱼山岛</w:t>
      </w:r>
    </w:p>
    <w:p w14:paraId="586CA80B">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default" w:ascii="宋体" w:hAnsi="宋体" w:cs="宋体"/>
          <w:spacing w:val="-3"/>
          <w:sz w:val="24"/>
          <w:szCs w:val="24"/>
          <w:lang w:val="en-US" w:eastAsia="zh-CN"/>
        </w:rPr>
      </w:pPr>
      <w:r>
        <w:rPr>
          <w:rFonts w:hint="eastAsia" w:ascii="宋体" w:hAnsi="宋体" w:eastAsia="宋体" w:cs="宋体"/>
          <w:spacing w:val="-2"/>
          <w:sz w:val="24"/>
          <w:szCs w:val="24"/>
          <w:highlight w:val="none"/>
          <w:lang w:val="en-US" w:eastAsia="zh-CN"/>
        </w:rPr>
        <w:t xml:space="preserve">3.3 </w:t>
      </w:r>
      <w:r>
        <w:rPr>
          <w:rFonts w:hint="eastAsia" w:ascii="宋体" w:hAnsi="宋体" w:eastAsia="宋体" w:cs="宋体"/>
          <w:spacing w:val="-2"/>
          <w:sz w:val="24"/>
          <w:szCs w:val="24"/>
          <w:highlight w:val="none"/>
        </w:rPr>
        <w:t>承包范围：</w:t>
      </w:r>
      <w:permStart w:id="4" w:edGrp="everyone"/>
      <w:r>
        <w:rPr>
          <w:rFonts w:hint="eastAsia" w:ascii="宋体" w:hAnsi="宋体" w:cs="宋体"/>
          <w:spacing w:val="-2"/>
          <w:sz w:val="24"/>
          <w:szCs w:val="24"/>
          <w:highlight w:val="none"/>
          <w:lang w:val="en-US" w:eastAsia="zh-CN"/>
        </w:rPr>
        <w:t>隐患消缺中补焊及管道技改等</w:t>
      </w:r>
      <w:r>
        <w:rPr>
          <w:rFonts w:hint="eastAsia" w:ascii="宋体" w:hAnsi="宋体" w:eastAsia="宋体" w:cs="宋体"/>
          <w:i w:val="0"/>
          <w:iCs w:val="0"/>
          <w:caps w:val="0"/>
          <w:spacing w:val="-2"/>
          <w:sz w:val="24"/>
          <w:szCs w:val="24"/>
          <w:highlight w:val="none"/>
        </w:rPr>
        <w:t>。</w:t>
      </w:r>
      <w:permEnd w:id="4"/>
      <w:r>
        <w:rPr>
          <w:rFonts w:hint="eastAsia" w:ascii="宋体" w:hAnsi="宋体" w:eastAsia="宋体" w:cs="宋体"/>
          <w:i w:val="0"/>
          <w:iCs w:val="0"/>
          <w:caps w:val="0"/>
          <w:spacing w:val="-2"/>
          <w:sz w:val="24"/>
          <w:szCs w:val="24"/>
          <w:highlight w:val="none"/>
        </w:rPr>
        <w:t>具体工作内容详见工程量清单。</w:t>
      </w:r>
    </w:p>
    <w:p w14:paraId="654CF66B">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 xml:space="preserve">3.4 </w:t>
      </w:r>
      <w:r>
        <w:rPr>
          <w:rFonts w:hint="eastAsia" w:ascii="宋体" w:hAnsi="宋体" w:eastAsia="宋体" w:cs="宋体"/>
          <w:spacing w:val="-2"/>
          <w:sz w:val="24"/>
          <w:szCs w:val="24"/>
        </w:rPr>
        <w:t>承包方式：</w:t>
      </w:r>
      <w:permStart w:id="5" w:edGrp="everyone"/>
      <w:r>
        <w:rPr>
          <w:rFonts w:hint="eastAsia" w:ascii="宋体" w:hAnsi="宋体" w:eastAsia="宋体" w:cs="宋体"/>
          <w:spacing w:val="-2"/>
          <w:sz w:val="24"/>
          <w:szCs w:val="24"/>
        </w:rPr>
        <w:t>固定单价</w:t>
      </w:r>
      <w:permEnd w:id="5"/>
    </w:p>
    <w:p w14:paraId="6C391772">
      <w:pPr>
        <w:pStyle w:val="6"/>
        <w:keepNext w:val="0"/>
        <w:keepLines w:val="0"/>
        <w:pageBreakBefore w:val="0"/>
        <w:widowControl w:val="0"/>
        <w:kinsoku w:val="0"/>
        <w:wordWrap/>
        <w:overflowPunct/>
        <w:topLinePunct w:val="0"/>
        <w:autoSpaceDE w:val="0"/>
        <w:autoSpaceDN w:val="0"/>
        <w:bidi w:val="0"/>
        <w:adjustRightInd w:val="0"/>
        <w:snapToGrid w:val="0"/>
        <w:spacing w:before="164" w:beforeLines="50" w:after="164" w:afterLines="50" w:line="360" w:lineRule="auto"/>
        <w:ind w:left="0" w:right="0" w:firstLine="0"/>
        <w:textAlignment w:val="baseline"/>
        <w:outlineLvl w:val="1"/>
        <w:rPr>
          <w:rFonts w:hint="eastAsia" w:ascii="宋体" w:hAnsi="宋体" w:eastAsia="宋体" w:cs="宋体"/>
          <w:b/>
          <w:bCs/>
          <w:spacing w:val="-11"/>
          <w:sz w:val="28"/>
          <w:szCs w:val="28"/>
        </w:rPr>
      </w:pPr>
      <w:r>
        <w:rPr>
          <w:rFonts w:hint="eastAsia" w:ascii="宋体" w:hAnsi="宋体" w:eastAsia="宋体" w:cs="宋体"/>
          <w:b/>
          <w:bCs/>
          <w:spacing w:val="-11"/>
          <w:sz w:val="28"/>
          <w:szCs w:val="28"/>
        </w:rPr>
        <w:t>4.投标人资格要求</w:t>
      </w:r>
    </w:p>
    <w:p w14:paraId="0CD001C0">
      <w:pPr>
        <w:pStyle w:val="6"/>
        <w:keepNext w:val="0"/>
        <w:keepLines w:val="0"/>
        <w:pageBreakBefore w:val="0"/>
        <w:widowControl w:val="0"/>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rPr>
        <w:t>4.1</w:t>
      </w: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投标单位必须具有独立法人资格的企业，企业资质包含所投标分包内容，成立时间需满一年以上</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截止投标报价截止日期为止</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，具备满足国内注册、资质范围包含所投标分包内容</w:t>
      </w:r>
      <w:r>
        <w:rPr>
          <w:rFonts w:hint="eastAsia" w:ascii="宋体" w:hAnsi="宋体" w:eastAsia="宋体" w:cs="宋体"/>
          <w:spacing w:val="-2"/>
          <w:sz w:val="24"/>
          <w:szCs w:val="24"/>
          <w:lang w:eastAsia="zh-CN"/>
        </w:rPr>
        <w:t>。</w:t>
      </w:r>
    </w:p>
    <w:p w14:paraId="20CE1421">
      <w:pPr>
        <w:pStyle w:val="6"/>
        <w:keepNext w:val="0"/>
        <w:keepLines w:val="0"/>
        <w:pageBreakBefore w:val="0"/>
        <w:widowControl w:val="0"/>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rPr>
        <w:t>4.2</w:t>
      </w: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本次招选要求的分包商具有独立法人资格，并在资质、资源（人机材</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、信誉信用等方面具有相应的实施能力且满足下列条件的投标单位：具有法人资格、企业资质证书、安全生产许可证、其他相应的证书、有足够的施工作业能力、有长期、稳定的作业人员的企业</w:t>
      </w:r>
      <w:r>
        <w:rPr>
          <w:rFonts w:hint="eastAsia" w:ascii="宋体" w:hAnsi="宋体" w:eastAsia="宋体" w:cs="宋体"/>
          <w:spacing w:val="-2"/>
          <w:sz w:val="24"/>
          <w:szCs w:val="24"/>
          <w:lang w:eastAsia="zh-CN"/>
        </w:rPr>
        <w:t>。</w:t>
      </w:r>
    </w:p>
    <w:p w14:paraId="41C6E2E6">
      <w:pPr>
        <w:pStyle w:val="6"/>
        <w:keepNext w:val="0"/>
        <w:keepLines w:val="0"/>
        <w:pageBreakBefore w:val="0"/>
        <w:widowControl w:val="0"/>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4.3</w:t>
      </w: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本次招选不接受联合体投标。具有投资参股关系的关联企业，或具有直接管理和被管理关系的母子公司，或同一母公司的子公司，或法定代表人为同一个人的两个及两个以上法人，不得同时对同一标段投标，否则均按废标处理。</w:t>
      </w:r>
    </w:p>
    <w:p w14:paraId="2D60B4FD">
      <w:pPr>
        <w:pStyle w:val="6"/>
        <w:keepNext w:val="0"/>
        <w:keepLines w:val="0"/>
        <w:pageBreakBefore w:val="0"/>
        <w:widowControl w:val="0"/>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4.4</w:t>
      </w: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投标单位若在近3年内被建设行政主管部门、市场监管部门等政府机构通报处罚，或被我司列为不合格分包商，不得参与本次投标。若投标过程中发现此类情况，其投标文件将视为无效。</w:t>
      </w:r>
    </w:p>
    <w:p w14:paraId="0F720DA3">
      <w:pPr>
        <w:pStyle w:val="6"/>
        <w:keepNext w:val="0"/>
        <w:keepLines w:val="0"/>
        <w:pageBreakBefore w:val="0"/>
        <w:widowControl w:val="0"/>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4.5</w:t>
      </w: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报价人须能开具增值税发票。</w:t>
      </w:r>
    </w:p>
    <w:p w14:paraId="2DFD7667">
      <w:pPr>
        <w:pStyle w:val="6"/>
        <w:keepNext w:val="0"/>
        <w:keepLines w:val="0"/>
        <w:pageBreakBefore w:val="0"/>
        <w:widowControl w:val="0"/>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rPr>
        <w:t>4.6</w:t>
      </w: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报价人的资质文件</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企业法人营业执照、企业资质证书、安全生产许可证等资料</w:t>
      </w:r>
      <w:r>
        <w:rPr>
          <w:rFonts w:hint="eastAsia" w:ascii="宋体" w:hAnsi="宋体" w:eastAsia="宋体" w:cs="宋体"/>
          <w:spacing w:val="-2"/>
          <w:sz w:val="24"/>
          <w:szCs w:val="24"/>
          <w:lang w:eastAsia="zh-CN"/>
        </w:rPr>
        <w:t>。</w:t>
      </w:r>
    </w:p>
    <w:p w14:paraId="61B27D52">
      <w:pPr>
        <w:pStyle w:val="6"/>
        <w:keepNext w:val="0"/>
        <w:keepLines w:val="0"/>
        <w:pageBreakBefore w:val="0"/>
        <w:widowControl/>
        <w:kinsoku w:val="0"/>
        <w:wordWrap/>
        <w:overflowPunct/>
        <w:topLinePunct w:val="0"/>
        <w:autoSpaceDE w:val="0"/>
        <w:autoSpaceDN w:val="0"/>
        <w:bidi w:val="0"/>
        <w:adjustRightInd w:val="0"/>
        <w:snapToGrid w:val="0"/>
        <w:spacing w:before="164" w:beforeLines="50" w:after="164" w:afterLines="50" w:line="360" w:lineRule="auto"/>
        <w:ind w:left="0" w:right="0" w:firstLine="0"/>
        <w:textAlignment w:val="baseline"/>
        <w:outlineLvl w:val="1"/>
        <w:rPr>
          <w:rFonts w:hint="eastAsia" w:ascii="宋体" w:hAnsi="宋体" w:eastAsia="宋体" w:cs="宋体"/>
          <w:b/>
          <w:bCs/>
          <w:spacing w:val="-11"/>
          <w:sz w:val="28"/>
          <w:szCs w:val="28"/>
        </w:rPr>
      </w:pPr>
      <w:r>
        <w:rPr>
          <w:rFonts w:hint="eastAsia" w:ascii="宋体" w:hAnsi="宋体" w:eastAsia="宋体" w:cs="宋体"/>
          <w:b/>
          <w:bCs/>
          <w:spacing w:val="-11"/>
          <w:sz w:val="28"/>
          <w:szCs w:val="28"/>
        </w:rPr>
        <w:t>5.招标文件的获取</w:t>
      </w:r>
    </w:p>
    <w:p w14:paraId="616D4EF5">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凡有意参加投标者，请于</w:t>
      </w:r>
      <w:r>
        <w:rPr>
          <w:rFonts w:hint="eastAsia" w:ascii="宋体" w:hAnsi="宋体" w:cs="宋体"/>
          <w:spacing w:val="-2"/>
          <w:sz w:val="24"/>
          <w:szCs w:val="24"/>
          <w:highlight w:val="none"/>
          <w:u w:val="single"/>
          <w:lang w:val="en-US" w:eastAsia="zh-CN"/>
        </w:rPr>
        <w:t xml:space="preserve"> </w:t>
      </w:r>
      <w:permStart w:id="6" w:edGrp="everyone"/>
      <w:r>
        <w:rPr>
          <w:rFonts w:hint="eastAsia" w:ascii="宋体" w:hAnsi="宋体" w:eastAsia="宋体" w:cs="宋体"/>
          <w:spacing w:val="-2"/>
          <w:sz w:val="24"/>
          <w:szCs w:val="24"/>
          <w:highlight w:val="none"/>
          <w:u w:val="single"/>
        </w:rPr>
        <w:t>202</w:t>
      </w:r>
      <w:r>
        <w:rPr>
          <w:rFonts w:hint="eastAsia" w:ascii="宋体" w:hAnsi="宋体" w:eastAsia="宋体" w:cs="宋体"/>
          <w:spacing w:val="-2"/>
          <w:sz w:val="24"/>
          <w:szCs w:val="24"/>
          <w:highlight w:val="none"/>
          <w:u w:val="single"/>
          <w:lang w:val="en-US" w:eastAsia="zh-CN"/>
        </w:rPr>
        <w:t>5</w:t>
      </w:r>
      <w:r>
        <w:rPr>
          <w:rFonts w:hint="eastAsia" w:ascii="宋体" w:hAnsi="宋体" w:cs="宋体"/>
          <w:spacing w:val="-2"/>
          <w:sz w:val="24"/>
          <w:szCs w:val="24"/>
          <w:highlight w:val="none"/>
          <w:u w:val="single"/>
          <w:lang w:val="en-US" w:eastAsia="zh-CN"/>
        </w:rPr>
        <w:t xml:space="preserve"> </w:t>
      </w:r>
      <w:r>
        <w:rPr>
          <w:rFonts w:hint="eastAsia" w:ascii="宋体" w:hAnsi="宋体" w:eastAsia="宋体" w:cs="宋体"/>
          <w:spacing w:val="-2"/>
          <w:sz w:val="24"/>
          <w:szCs w:val="24"/>
          <w:highlight w:val="none"/>
        </w:rPr>
        <w:t>年</w:t>
      </w:r>
      <w:r>
        <w:rPr>
          <w:rFonts w:hint="eastAsia" w:ascii="宋体" w:hAnsi="宋体" w:cs="宋体"/>
          <w:spacing w:val="-2"/>
          <w:sz w:val="24"/>
          <w:szCs w:val="24"/>
          <w:highlight w:val="none"/>
          <w:u w:val="single"/>
          <w:lang w:val="en-US" w:eastAsia="zh-CN"/>
        </w:rPr>
        <w:t xml:space="preserve"> 6 </w:t>
      </w:r>
      <w:r>
        <w:rPr>
          <w:rFonts w:hint="eastAsia" w:ascii="宋体" w:hAnsi="宋体" w:eastAsia="宋体" w:cs="宋体"/>
          <w:spacing w:val="-2"/>
          <w:sz w:val="24"/>
          <w:szCs w:val="24"/>
          <w:highlight w:val="none"/>
        </w:rPr>
        <w:t>月</w:t>
      </w:r>
      <w:r>
        <w:rPr>
          <w:rFonts w:hint="eastAsia" w:ascii="宋体" w:hAnsi="宋体" w:cs="宋体"/>
          <w:spacing w:val="-2"/>
          <w:sz w:val="24"/>
          <w:szCs w:val="24"/>
          <w:highlight w:val="none"/>
          <w:u w:val="single"/>
          <w:lang w:val="en-US" w:eastAsia="zh-CN"/>
        </w:rPr>
        <w:t xml:space="preserve"> 27 </w:t>
      </w:r>
      <w:r>
        <w:rPr>
          <w:rFonts w:hint="eastAsia" w:ascii="宋体" w:hAnsi="宋体" w:eastAsia="宋体" w:cs="宋体"/>
          <w:spacing w:val="-2"/>
          <w:sz w:val="24"/>
          <w:szCs w:val="24"/>
          <w:highlight w:val="none"/>
        </w:rPr>
        <w:t>日</w:t>
      </w:r>
      <w:r>
        <w:rPr>
          <w:rFonts w:hint="eastAsia" w:ascii="宋体" w:hAnsi="宋体" w:cs="宋体"/>
          <w:spacing w:val="-2"/>
          <w:sz w:val="24"/>
          <w:szCs w:val="24"/>
          <w:highlight w:val="none"/>
          <w:u w:val="single"/>
          <w:lang w:val="en-US" w:eastAsia="zh-CN"/>
        </w:rPr>
        <w:t xml:space="preserve"> </w:t>
      </w:r>
      <w:r>
        <w:rPr>
          <w:rFonts w:hint="eastAsia" w:ascii="宋体" w:hAnsi="宋体" w:eastAsia="宋体" w:cs="宋体"/>
          <w:spacing w:val="-2"/>
          <w:sz w:val="24"/>
          <w:szCs w:val="24"/>
          <w:highlight w:val="none"/>
          <w:u w:val="single"/>
        </w:rPr>
        <w:t>1</w:t>
      </w:r>
      <w:r>
        <w:rPr>
          <w:rFonts w:hint="eastAsia" w:ascii="宋体" w:hAnsi="宋体" w:cs="宋体"/>
          <w:spacing w:val="-2"/>
          <w:sz w:val="24"/>
          <w:szCs w:val="24"/>
          <w:highlight w:val="none"/>
          <w:u w:val="single"/>
          <w:lang w:val="en-US" w:eastAsia="zh-CN"/>
        </w:rPr>
        <w:t>0</w:t>
      </w:r>
      <w:r>
        <w:rPr>
          <w:rFonts w:hint="eastAsia" w:ascii="宋体" w:hAnsi="宋体" w:eastAsia="宋体" w:cs="宋体"/>
          <w:spacing w:val="-2"/>
          <w:sz w:val="24"/>
          <w:szCs w:val="24"/>
          <w:highlight w:val="none"/>
          <w:u w:val="single"/>
          <w:lang w:eastAsia="zh-CN"/>
        </w:rPr>
        <w:t>：</w:t>
      </w:r>
      <w:r>
        <w:rPr>
          <w:rFonts w:hint="eastAsia" w:ascii="宋体" w:hAnsi="宋体" w:eastAsia="宋体" w:cs="宋体"/>
          <w:spacing w:val="-2"/>
          <w:sz w:val="24"/>
          <w:szCs w:val="24"/>
          <w:highlight w:val="none"/>
          <w:u w:val="single"/>
        </w:rPr>
        <w:t>00</w:t>
      </w:r>
      <w:r>
        <w:rPr>
          <w:rFonts w:hint="eastAsia" w:ascii="宋体" w:hAnsi="宋体" w:cs="宋体"/>
          <w:spacing w:val="-2"/>
          <w:sz w:val="24"/>
          <w:szCs w:val="24"/>
          <w:highlight w:val="none"/>
          <w:u w:val="single"/>
          <w:lang w:val="en-US" w:eastAsia="zh-CN"/>
        </w:rPr>
        <w:t xml:space="preserve"> </w:t>
      </w:r>
      <w:r>
        <w:rPr>
          <w:rFonts w:hint="eastAsia" w:ascii="宋体" w:hAnsi="宋体" w:eastAsia="宋体" w:cs="宋体"/>
          <w:spacing w:val="-2"/>
          <w:sz w:val="24"/>
          <w:szCs w:val="24"/>
          <w:highlight w:val="none"/>
        </w:rPr>
        <w:t>至</w:t>
      </w:r>
      <w:r>
        <w:rPr>
          <w:rFonts w:hint="eastAsia" w:ascii="宋体" w:hAnsi="宋体" w:cs="宋体"/>
          <w:spacing w:val="-2"/>
          <w:sz w:val="24"/>
          <w:szCs w:val="24"/>
          <w:highlight w:val="none"/>
          <w:u w:val="single"/>
          <w:lang w:val="en-US" w:eastAsia="zh-CN"/>
        </w:rPr>
        <w:t xml:space="preserve"> </w:t>
      </w:r>
      <w:r>
        <w:rPr>
          <w:rFonts w:hint="eastAsia" w:ascii="宋体" w:hAnsi="宋体" w:eastAsia="宋体" w:cs="宋体"/>
          <w:spacing w:val="-2"/>
          <w:sz w:val="24"/>
          <w:szCs w:val="24"/>
          <w:highlight w:val="none"/>
          <w:u w:val="single"/>
        </w:rPr>
        <w:t>202</w:t>
      </w:r>
      <w:r>
        <w:rPr>
          <w:rFonts w:hint="eastAsia" w:ascii="宋体" w:hAnsi="宋体" w:eastAsia="宋体" w:cs="宋体"/>
          <w:spacing w:val="-2"/>
          <w:sz w:val="24"/>
          <w:szCs w:val="24"/>
          <w:highlight w:val="none"/>
          <w:u w:val="single"/>
          <w:lang w:val="en-US" w:eastAsia="zh-CN"/>
        </w:rPr>
        <w:t>5</w:t>
      </w:r>
      <w:r>
        <w:rPr>
          <w:rFonts w:hint="eastAsia" w:ascii="宋体" w:hAnsi="宋体" w:cs="宋体"/>
          <w:spacing w:val="-2"/>
          <w:sz w:val="24"/>
          <w:szCs w:val="24"/>
          <w:highlight w:val="none"/>
          <w:u w:val="single"/>
          <w:lang w:val="en-US" w:eastAsia="zh-CN"/>
        </w:rPr>
        <w:t xml:space="preserve"> </w:t>
      </w:r>
      <w:r>
        <w:rPr>
          <w:rFonts w:hint="eastAsia" w:ascii="宋体" w:hAnsi="宋体" w:eastAsia="宋体" w:cs="宋体"/>
          <w:spacing w:val="-2"/>
          <w:sz w:val="24"/>
          <w:szCs w:val="24"/>
          <w:highlight w:val="none"/>
        </w:rPr>
        <w:t>年</w:t>
      </w:r>
      <w:r>
        <w:rPr>
          <w:rFonts w:hint="eastAsia" w:ascii="宋体" w:hAnsi="宋体" w:cs="宋体"/>
          <w:spacing w:val="-2"/>
          <w:sz w:val="24"/>
          <w:szCs w:val="24"/>
          <w:highlight w:val="none"/>
          <w:u w:val="single"/>
          <w:lang w:val="en-US" w:eastAsia="zh-CN"/>
        </w:rPr>
        <w:t xml:space="preserve"> 6 </w:t>
      </w:r>
      <w:r>
        <w:rPr>
          <w:rFonts w:hint="eastAsia" w:ascii="宋体" w:hAnsi="宋体" w:eastAsia="宋体" w:cs="宋体"/>
          <w:spacing w:val="-2"/>
          <w:sz w:val="24"/>
          <w:szCs w:val="24"/>
          <w:highlight w:val="none"/>
        </w:rPr>
        <w:t>月</w:t>
      </w:r>
      <w:r>
        <w:rPr>
          <w:rFonts w:hint="eastAsia" w:ascii="宋体" w:hAnsi="宋体" w:cs="宋体"/>
          <w:spacing w:val="-2"/>
          <w:sz w:val="24"/>
          <w:szCs w:val="24"/>
          <w:highlight w:val="none"/>
          <w:u w:val="single"/>
          <w:lang w:val="en-US" w:eastAsia="zh-CN"/>
        </w:rPr>
        <w:t xml:space="preserve"> 20 </w:t>
      </w:r>
      <w:r>
        <w:rPr>
          <w:rFonts w:hint="eastAsia" w:ascii="宋体" w:hAnsi="宋体" w:eastAsia="宋体" w:cs="宋体"/>
          <w:spacing w:val="-2"/>
          <w:sz w:val="24"/>
          <w:szCs w:val="24"/>
          <w:highlight w:val="none"/>
        </w:rPr>
        <w:t>日</w:t>
      </w:r>
      <w:r>
        <w:rPr>
          <w:rFonts w:hint="eastAsia" w:ascii="宋体" w:hAnsi="宋体" w:cs="宋体"/>
          <w:spacing w:val="-2"/>
          <w:sz w:val="24"/>
          <w:szCs w:val="24"/>
          <w:highlight w:val="none"/>
          <w:u w:val="single"/>
          <w:lang w:val="en-US" w:eastAsia="zh-CN"/>
        </w:rPr>
        <w:t>10</w:t>
      </w:r>
      <w:r>
        <w:rPr>
          <w:rFonts w:hint="eastAsia" w:ascii="宋体" w:hAnsi="宋体" w:eastAsia="宋体" w:cs="宋体"/>
          <w:spacing w:val="-2"/>
          <w:sz w:val="24"/>
          <w:szCs w:val="24"/>
          <w:highlight w:val="none"/>
          <w:u w:val="single"/>
          <w:lang w:eastAsia="zh-CN"/>
        </w:rPr>
        <w:t>：</w:t>
      </w:r>
      <w:r>
        <w:rPr>
          <w:rFonts w:hint="eastAsia" w:ascii="宋体" w:hAnsi="宋体" w:eastAsia="宋体" w:cs="宋体"/>
          <w:spacing w:val="-2"/>
          <w:sz w:val="24"/>
          <w:szCs w:val="24"/>
          <w:highlight w:val="none"/>
          <w:u w:val="single"/>
        </w:rPr>
        <w:t>00</w:t>
      </w:r>
      <w:permEnd w:id="6"/>
      <w:r>
        <w:rPr>
          <w:rFonts w:hint="eastAsia" w:ascii="宋体" w:hAnsi="宋体" w:cs="宋体"/>
          <w:spacing w:val="-2"/>
          <w:sz w:val="24"/>
          <w:szCs w:val="24"/>
          <w:highlight w:val="none"/>
          <w:lang w:eastAsia="zh-CN"/>
        </w:rPr>
        <w:t>，</w:t>
      </w:r>
      <w:r>
        <w:rPr>
          <w:rFonts w:hint="eastAsia" w:ascii="宋体" w:hAnsi="宋体" w:eastAsia="宋体" w:cs="宋体"/>
          <w:spacing w:val="-2"/>
          <w:sz w:val="24"/>
          <w:szCs w:val="24"/>
          <w:highlight w:val="none"/>
        </w:rPr>
        <w:t>于福建安装闽安通平台</w:t>
      </w:r>
      <w:r>
        <w:rPr>
          <w:rFonts w:hint="eastAsia" w:ascii="宋体" w:hAnsi="宋体" w:eastAsia="宋体" w:cs="宋体"/>
          <w:spacing w:val="-2"/>
          <w:sz w:val="24"/>
          <w:szCs w:val="24"/>
          <w:highlight w:val="none"/>
          <w:lang w:eastAsia="zh-CN"/>
        </w:rPr>
        <w:t>（</w:t>
      </w:r>
      <w:r>
        <w:rPr>
          <w:rFonts w:hint="eastAsia" w:ascii="宋体" w:hAnsi="宋体" w:eastAsia="宋体" w:cs="宋体"/>
          <w:spacing w:val="-2"/>
          <w:sz w:val="24"/>
          <w:szCs w:val="24"/>
          <w:highlight w:val="none"/>
        </w:rPr>
        <w:t>登录网址：https</w:t>
      </w:r>
      <w:r>
        <w:rPr>
          <w:rFonts w:hint="eastAsia" w:ascii="宋体" w:hAnsi="宋体" w:cs="宋体"/>
          <w:spacing w:val="-2"/>
          <w:sz w:val="24"/>
          <w:szCs w:val="24"/>
          <w:highlight w:val="none"/>
          <w:lang w:eastAsia="zh-CN"/>
        </w:rPr>
        <w:t>：</w:t>
      </w:r>
      <w:r>
        <w:rPr>
          <w:rFonts w:hint="eastAsia" w:ascii="宋体" w:hAnsi="宋体" w:eastAsia="宋体" w:cs="宋体"/>
          <w:spacing w:val="-2"/>
          <w:sz w:val="24"/>
          <w:szCs w:val="24"/>
          <w:highlight w:val="none"/>
        </w:rPr>
        <w:t>//fjaz.azt365.com/</w:t>
      </w:r>
      <w:r>
        <w:rPr>
          <w:rFonts w:hint="eastAsia" w:ascii="宋体" w:hAnsi="宋体" w:cs="宋体"/>
          <w:spacing w:val="-2"/>
          <w:sz w:val="24"/>
          <w:szCs w:val="24"/>
          <w:highlight w:val="none"/>
          <w:lang w:eastAsia="zh-CN"/>
        </w:rPr>
        <w:t>）</w:t>
      </w:r>
      <w:r>
        <w:rPr>
          <w:rFonts w:hint="eastAsia" w:ascii="宋体" w:hAnsi="宋体" w:eastAsia="宋体" w:cs="宋体"/>
          <w:spacing w:val="-2"/>
          <w:sz w:val="24"/>
          <w:szCs w:val="24"/>
          <w:highlight w:val="none"/>
        </w:rPr>
        <w:t>办理报名手续。</w:t>
      </w:r>
    </w:p>
    <w:p w14:paraId="7924725F">
      <w:pPr>
        <w:pStyle w:val="6"/>
        <w:keepNext w:val="0"/>
        <w:keepLines w:val="0"/>
        <w:pageBreakBefore w:val="0"/>
        <w:widowControl/>
        <w:kinsoku w:val="0"/>
        <w:wordWrap/>
        <w:overflowPunct/>
        <w:topLinePunct w:val="0"/>
        <w:autoSpaceDE w:val="0"/>
        <w:autoSpaceDN w:val="0"/>
        <w:bidi w:val="0"/>
        <w:adjustRightInd w:val="0"/>
        <w:snapToGrid w:val="0"/>
        <w:spacing w:before="164" w:beforeLines="50" w:after="164" w:afterLines="50" w:line="360" w:lineRule="auto"/>
        <w:ind w:left="0" w:right="0" w:firstLine="0"/>
        <w:textAlignment w:val="baseline"/>
        <w:outlineLvl w:val="1"/>
        <w:rPr>
          <w:rFonts w:hint="eastAsia" w:ascii="宋体" w:hAnsi="宋体" w:eastAsia="宋体" w:cs="宋体"/>
          <w:b/>
          <w:bCs/>
          <w:spacing w:val="-11"/>
          <w:sz w:val="28"/>
          <w:szCs w:val="28"/>
          <w:highlight w:val="none"/>
        </w:rPr>
      </w:pPr>
      <w:r>
        <w:rPr>
          <w:rFonts w:hint="eastAsia" w:ascii="宋体" w:hAnsi="宋体" w:eastAsia="宋体" w:cs="宋体"/>
          <w:b/>
          <w:bCs/>
          <w:spacing w:val="-11"/>
          <w:sz w:val="28"/>
          <w:szCs w:val="28"/>
          <w:highlight w:val="none"/>
        </w:rPr>
        <w:t>6.投标文件的递交及相关事宜</w:t>
      </w:r>
    </w:p>
    <w:p w14:paraId="2BF59E47">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6.1</w:t>
      </w:r>
      <w:r>
        <w:rPr>
          <w:rFonts w:hint="eastAsia" w:ascii="宋体" w:hAnsi="宋体" w:eastAsia="宋体" w:cs="宋体"/>
          <w:spacing w:val="-2"/>
          <w:sz w:val="24"/>
          <w:szCs w:val="24"/>
          <w:highlight w:val="none"/>
          <w:lang w:val="en-US" w:eastAsia="zh-CN"/>
        </w:rPr>
        <w:t xml:space="preserve"> </w:t>
      </w:r>
      <w:r>
        <w:rPr>
          <w:rFonts w:hint="eastAsia" w:ascii="宋体" w:hAnsi="宋体" w:eastAsia="宋体" w:cs="宋体"/>
          <w:spacing w:val="-2"/>
          <w:sz w:val="24"/>
          <w:szCs w:val="24"/>
          <w:highlight w:val="none"/>
        </w:rPr>
        <w:t>招选人不统一组织工程现场踏勘和投标预备会。</w:t>
      </w:r>
    </w:p>
    <w:p w14:paraId="11FF1FC8">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6.2</w:t>
      </w:r>
      <w:r>
        <w:rPr>
          <w:rFonts w:hint="eastAsia" w:ascii="宋体" w:hAnsi="宋体" w:eastAsia="宋体" w:cs="宋体"/>
          <w:spacing w:val="-2"/>
          <w:sz w:val="24"/>
          <w:szCs w:val="24"/>
          <w:highlight w:val="none"/>
          <w:lang w:val="en-US" w:eastAsia="zh-CN"/>
        </w:rPr>
        <w:t xml:space="preserve"> </w:t>
      </w:r>
      <w:r>
        <w:rPr>
          <w:rFonts w:hint="eastAsia" w:ascii="宋体" w:hAnsi="宋体" w:eastAsia="宋体" w:cs="宋体"/>
          <w:spacing w:val="-2"/>
          <w:sz w:val="24"/>
          <w:szCs w:val="24"/>
          <w:highlight w:val="none"/>
        </w:rPr>
        <w:t>投标文件递交的截止时间</w:t>
      </w:r>
      <w:r>
        <w:rPr>
          <w:rFonts w:hint="eastAsia" w:ascii="宋体" w:hAnsi="宋体" w:cs="宋体"/>
          <w:spacing w:val="-2"/>
          <w:sz w:val="24"/>
          <w:szCs w:val="24"/>
          <w:highlight w:val="none"/>
          <w:lang w:eastAsia="zh-CN"/>
        </w:rPr>
        <w:t>（</w:t>
      </w:r>
      <w:r>
        <w:rPr>
          <w:rFonts w:hint="eastAsia" w:ascii="宋体" w:hAnsi="宋体" w:eastAsia="宋体" w:cs="宋体"/>
          <w:spacing w:val="-2"/>
          <w:sz w:val="24"/>
          <w:szCs w:val="24"/>
          <w:highlight w:val="none"/>
        </w:rPr>
        <w:t>投标截止时间</w:t>
      </w:r>
      <w:r>
        <w:rPr>
          <w:rFonts w:hint="eastAsia" w:ascii="宋体" w:hAnsi="宋体" w:eastAsia="宋体" w:cs="宋体"/>
          <w:spacing w:val="-2"/>
          <w:sz w:val="24"/>
          <w:szCs w:val="24"/>
          <w:highlight w:val="none"/>
          <w:lang w:eastAsia="zh-CN"/>
        </w:rPr>
        <w:t>，</w:t>
      </w:r>
      <w:r>
        <w:rPr>
          <w:rFonts w:hint="eastAsia" w:ascii="宋体" w:hAnsi="宋体" w:eastAsia="宋体" w:cs="宋体"/>
          <w:spacing w:val="-2"/>
          <w:sz w:val="24"/>
          <w:szCs w:val="24"/>
          <w:highlight w:val="none"/>
        </w:rPr>
        <w:t>下同</w:t>
      </w:r>
      <w:r>
        <w:rPr>
          <w:rFonts w:hint="eastAsia" w:ascii="宋体" w:hAnsi="宋体" w:cs="宋体"/>
          <w:spacing w:val="-2"/>
          <w:sz w:val="24"/>
          <w:szCs w:val="24"/>
          <w:highlight w:val="none"/>
          <w:lang w:eastAsia="zh-CN"/>
        </w:rPr>
        <w:t>）</w:t>
      </w:r>
      <w:r>
        <w:rPr>
          <w:rFonts w:hint="eastAsia" w:ascii="宋体" w:hAnsi="宋体" w:eastAsia="宋体" w:cs="宋体"/>
          <w:spacing w:val="-2"/>
          <w:sz w:val="24"/>
          <w:szCs w:val="24"/>
          <w:highlight w:val="none"/>
        </w:rPr>
        <w:t>为</w:t>
      </w:r>
      <w:r>
        <w:rPr>
          <w:rFonts w:hint="eastAsia" w:ascii="宋体" w:hAnsi="宋体" w:cs="宋体"/>
          <w:spacing w:val="-2"/>
          <w:sz w:val="24"/>
          <w:szCs w:val="24"/>
          <w:highlight w:val="none"/>
          <w:u w:val="single"/>
          <w:lang w:val="en-US" w:eastAsia="zh-CN"/>
        </w:rPr>
        <w:t xml:space="preserve"> </w:t>
      </w:r>
      <w:permStart w:id="7" w:edGrp="everyone"/>
      <w:r>
        <w:rPr>
          <w:rFonts w:hint="eastAsia" w:ascii="宋体" w:hAnsi="宋体" w:eastAsia="宋体" w:cs="宋体"/>
          <w:spacing w:val="-2"/>
          <w:sz w:val="24"/>
          <w:szCs w:val="24"/>
          <w:highlight w:val="none"/>
          <w:u w:val="single"/>
        </w:rPr>
        <w:t>202</w:t>
      </w:r>
      <w:r>
        <w:rPr>
          <w:rFonts w:hint="eastAsia" w:ascii="宋体" w:hAnsi="宋体" w:eastAsia="宋体" w:cs="宋体"/>
          <w:spacing w:val="-2"/>
          <w:sz w:val="24"/>
          <w:szCs w:val="24"/>
          <w:highlight w:val="none"/>
          <w:u w:val="single"/>
          <w:lang w:val="en-US" w:eastAsia="zh-CN"/>
        </w:rPr>
        <w:t>5</w:t>
      </w:r>
      <w:r>
        <w:rPr>
          <w:rFonts w:hint="eastAsia" w:ascii="宋体" w:hAnsi="宋体" w:cs="宋体"/>
          <w:spacing w:val="-2"/>
          <w:sz w:val="24"/>
          <w:szCs w:val="24"/>
          <w:highlight w:val="none"/>
          <w:u w:val="single"/>
          <w:lang w:val="en-US" w:eastAsia="zh-CN"/>
        </w:rPr>
        <w:t xml:space="preserve"> </w:t>
      </w:r>
      <w:r>
        <w:rPr>
          <w:rFonts w:hint="eastAsia" w:ascii="宋体" w:hAnsi="宋体" w:eastAsia="宋体" w:cs="宋体"/>
          <w:spacing w:val="-2"/>
          <w:sz w:val="24"/>
          <w:szCs w:val="24"/>
          <w:highlight w:val="none"/>
        </w:rPr>
        <w:t>年</w:t>
      </w:r>
      <w:r>
        <w:rPr>
          <w:rFonts w:hint="eastAsia" w:ascii="宋体" w:hAnsi="宋体" w:cs="宋体"/>
          <w:spacing w:val="-2"/>
          <w:sz w:val="24"/>
          <w:szCs w:val="24"/>
          <w:highlight w:val="none"/>
          <w:u w:val="single"/>
          <w:lang w:val="en-US" w:eastAsia="zh-CN"/>
        </w:rPr>
        <w:t xml:space="preserve"> 6 </w:t>
      </w:r>
      <w:r>
        <w:rPr>
          <w:rFonts w:hint="eastAsia" w:ascii="宋体" w:hAnsi="宋体" w:eastAsia="宋体" w:cs="宋体"/>
          <w:spacing w:val="-2"/>
          <w:sz w:val="24"/>
          <w:szCs w:val="24"/>
          <w:highlight w:val="none"/>
        </w:rPr>
        <w:t>月</w:t>
      </w:r>
      <w:r>
        <w:rPr>
          <w:rFonts w:hint="eastAsia" w:ascii="宋体" w:hAnsi="宋体" w:cs="宋体"/>
          <w:spacing w:val="-2"/>
          <w:sz w:val="24"/>
          <w:szCs w:val="24"/>
          <w:highlight w:val="none"/>
          <w:u w:val="single"/>
          <w:lang w:val="en-US" w:eastAsia="zh-CN"/>
        </w:rPr>
        <w:t xml:space="preserve"> 27 </w:t>
      </w:r>
      <w:r>
        <w:rPr>
          <w:rFonts w:hint="eastAsia" w:ascii="宋体" w:hAnsi="宋体" w:eastAsia="宋体" w:cs="宋体"/>
          <w:spacing w:val="-2"/>
          <w:sz w:val="24"/>
          <w:szCs w:val="24"/>
          <w:highlight w:val="none"/>
        </w:rPr>
        <w:t>日</w:t>
      </w:r>
      <w:r>
        <w:rPr>
          <w:rFonts w:hint="eastAsia" w:ascii="宋体" w:hAnsi="宋体" w:cs="宋体"/>
          <w:spacing w:val="-2"/>
          <w:sz w:val="24"/>
          <w:szCs w:val="24"/>
          <w:highlight w:val="none"/>
          <w:u w:val="single"/>
          <w:lang w:val="en-US" w:eastAsia="zh-CN"/>
        </w:rPr>
        <w:t xml:space="preserve"> </w:t>
      </w:r>
      <w:r>
        <w:rPr>
          <w:rFonts w:hint="eastAsia" w:ascii="宋体" w:hAnsi="宋体" w:eastAsia="宋体" w:cs="宋体"/>
          <w:spacing w:val="-2"/>
          <w:sz w:val="24"/>
          <w:szCs w:val="24"/>
          <w:highlight w:val="none"/>
          <w:u w:val="single"/>
        </w:rPr>
        <w:t>1</w:t>
      </w:r>
      <w:r>
        <w:rPr>
          <w:rFonts w:hint="eastAsia" w:ascii="宋体" w:hAnsi="宋体" w:cs="宋体"/>
          <w:spacing w:val="-2"/>
          <w:sz w:val="24"/>
          <w:szCs w:val="24"/>
          <w:highlight w:val="none"/>
          <w:u w:val="single"/>
          <w:lang w:val="en-US" w:eastAsia="zh-CN"/>
        </w:rPr>
        <w:t>0</w:t>
      </w:r>
      <w:r>
        <w:rPr>
          <w:rFonts w:hint="eastAsia" w:ascii="宋体" w:hAnsi="宋体" w:cs="宋体"/>
          <w:spacing w:val="-2"/>
          <w:sz w:val="24"/>
          <w:szCs w:val="24"/>
          <w:highlight w:val="none"/>
          <w:u w:val="single"/>
          <w:lang w:eastAsia="zh-CN"/>
        </w:rPr>
        <w:t>：</w:t>
      </w:r>
      <w:r>
        <w:rPr>
          <w:rFonts w:hint="eastAsia" w:ascii="宋体" w:hAnsi="宋体" w:eastAsia="宋体" w:cs="宋体"/>
          <w:spacing w:val="-2"/>
          <w:sz w:val="24"/>
          <w:szCs w:val="24"/>
          <w:highlight w:val="none"/>
          <w:u w:val="single"/>
        </w:rPr>
        <w:t>00</w:t>
      </w:r>
      <w:r>
        <w:rPr>
          <w:rFonts w:hint="eastAsia" w:ascii="宋体" w:hAnsi="宋体" w:cs="宋体"/>
          <w:spacing w:val="-2"/>
          <w:sz w:val="24"/>
          <w:szCs w:val="24"/>
          <w:highlight w:val="none"/>
          <w:u w:val="single"/>
          <w:lang w:val="en-US" w:eastAsia="zh-CN"/>
        </w:rPr>
        <w:t xml:space="preserve"> </w:t>
      </w:r>
      <w:r>
        <w:rPr>
          <w:rFonts w:hint="eastAsia" w:ascii="宋体" w:hAnsi="宋体" w:eastAsia="宋体" w:cs="宋体"/>
          <w:spacing w:val="-2"/>
          <w:sz w:val="24"/>
          <w:szCs w:val="24"/>
          <w:highlight w:val="none"/>
        </w:rPr>
        <w:t>时，投标人应于</w:t>
      </w:r>
      <w:r>
        <w:rPr>
          <w:rFonts w:hint="eastAsia" w:ascii="宋体" w:hAnsi="宋体" w:cs="宋体"/>
          <w:spacing w:val="-2"/>
          <w:sz w:val="24"/>
          <w:szCs w:val="24"/>
          <w:highlight w:val="none"/>
          <w:u w:val="single"/>
          <w:lang w:val="en-US" w:eastAsia="zh-CN"/>
        </w:rPr>
        <w:t xml:space="preserve"> </w:t>
      </w:r>
      <w:r>
        <w:rPr>
          <w:rFonts w:hint="eastAsia" w:ascii="宋体" w:hAnsi="宋体" w:eastAsia="宋体" w:cs="宋体"/>
          <w:spacing w:val="-2"/>
          <w:sz w:val="24"/>
          <w:szCs w:val="24"/>
          <w:highlight w:val="none"/>
          <w:u w:val="single"/>
        </w:rPr>
        <w:t>202</w:t>
      </w:r>
      <w:r>
        <w:rPr>
          <w:rFonts w:hint="eastAsia" w:ascii="宋体" w:hAnsi="宋体" w:eastAsia="宋体" w:cs="宋体"/>
          <w:spacing w:val="-2"/>
          <w:sz w:val="24"/>
          <w:szCs w:val="24"/>
          <w:highlight w:val="none"/>
          <w:u w:val="single"/>
          <w:lang w:val="en-US" w:eastAsia="zh-CN"/>
        </w:rPr>
        <w:t>5</w:t>
      </w:r>
      <w:r>
        <w:rPr>
          <w:rFonts w:hint="eastAsia" w:ascii="宋体" w:hAnsi="宋体" w:cs="宋体"/>
          <w:spacing w:val="-2"/>
          <w:sz w:val="24"/>
          <w:szCs w:val="24"/>
          <w:highlight w:val="none"/>
          <w:u w:val="single"/>
          <w:lang w:val="en-US" w:eastAsia="zh-CN"/>
        </w:rPr>
        <w:t xml:space="preserve"> </w:t>
      </w:r>
      <w:r>
        <w:rPr>
          <w:rFonts w:hint="eastAsia" w:ascii="宋体" w:hAnsi="宋体" w:eastAsia="宋体" w:cs="宋体"/>
          <w:spacing w:val="-2"/>
          <w:sz w:val="24"/>
          <w:szCs w:val="24"/>
          <w:highlight w:val="none"/>
        </w:rPr>
        <w:t>年</w:t>
      </w:r>
      <w:r>
        <w:rPr>
          <w:rFonts w:hint="eastAsia" w:ascii="宋体" w:hAnsi="宋体" w:cs="宋体"/>
          <w:spacing w:val="-2"/>
          <w:sz w:val="24"/>
          <w:szCs w:val="24"/>
          <w:highlight w:val="none"/>
          <w:u w:val="single"/>
          <w:lang w:val="en-US" w:eastAsia="zh-CN"/>
        </w:rPr>
        <w:t xml:space="preserve"> 6 </w:t>
      </w:r>
      <w:r>
        <w:rPr>
          <w:rFonts w:hint="eastAsia" w:ascii="宋体" w:hAnsi="宋体" w:eastAsia="宋体" w:cs="宋体"/>
          <w:spacing w:val="-2"/>
          <w:sz w:val="24"/>
          <w:szCs w:val="24"/>
          <w:highlight w:val="none"/>
        </w:rPr>
        <w:t>月</w:t>
      </w:r>
      <w:r>
        <w:rPr>
          <w:rFonts w:hint="eastAsia" w:ascii="宋体" w:hAnsi="宋体" w:cs="宋体"/>
          <w:spacing w:val="-2"/>
          <w:sz w:val="24"/>
          <w:szCs w:val="24"/>
          <w:highlight w:val="none"/>
          <w:u w:val="single"/>
          <w:lang w:val="en-US" w:eastAsia="zh-CN"/>
        </w:rPr>
        <w:t xml:space="preserve"> 27 </w:t>
      </w:r>
      <w:r>
        <w:rPr>
          <w:rFonts w:hint="eastAsia" w:ascii="宋体" w:hAnsi="宋体" w:eastAsia="宋体" w:cs="宋体"/>
          <w:spacing w:val="-2"/>
          <w:sz w:val="24"/>
          <w:szCs w:val="24"/>
          <w:highlight w:val="none"/>
        </w:rPr>
        <w:t>日</w:t>
      </w:r>
      <w:r>
        <w:rPr>
          <w:rFonts w:hint="eastAsia" w:ascii="宋体" w:hAnsi="宋体" w:cs="宋体"/>
          <w:spacing w:val="-2"/>
          <w:sz w:val="24"/>
          <w:szCs w:val="24"/>
          <w:highlight w:val="none"/>
          <w:u w:val="single"/>
          <w:lang w:val="en-US" w:eastAsia="zh-CN"/>
        </w:rPr>
        <w:t xml:space="preserve"> </w:t>
      </w:r>
      <w:r>
        <w:rPr>
          <w:rFonts w:hint="eastAsia" w:ascii="宋体" w:hAnsi="宋体" w:eastAsia="宋体" w:cs="宋体"/>
          <w:spacing w:val="-2"/>
          <w:sz w:val="24"/>
          <w:szCs w:val="24"/>
          <w:highlight w:val="none"/>
          <w:u w:val="single"/>
        </w:rPr>
        <w:t>1</w:t>
      </w:r>
      <w:r>
        <w:rPr>
          <w:rFonts w:hint="eastAsia" w:ascii="宋体" w:hAnsi="宋体" w:cs="宋体"/>
          <w:spacing w:val="-2"/>
          <w:sz w:val="24"/>
          <w:szCs w:val="24"/>
          <w:highlight w:val="none"/>
          <w:u w:val="single"/>
          <w:lang w:val="en-US" w:eastAsia="zh-CN"/>
        </w:rPr>
        <w:t>0</w:t>
      </w:r>
      <w:r>
        <w:rPr>
          <w:rFonts w:hint="eastAsia" w:ascii="宋体" w:hAnsi="宋体" w:cs="宋体"/>
          <w:spacing w:val="-2"/>
          <w:sz w:val="24"/>
          <w:szCs w:val="24"/>
          <w:highlight w:val="none"/>
          <w:u w:val="single"/>
          <w:lang w:eastAsia="zh-CN"/>
        </w:rPr>
        <w:t>：</w:t>
      </w:r>
      <w:r>
        <w:rPr>
          <w:rFonts w:hint="eastAsia" w:ascii="宋体" w:hAnsi="宋体" w:eastAsia="宋体" w:cs="宋体"/>
          <w:spacing w:val="-2"/>
          <w:sz w:val="24"/>
          <w:szCs w:val="24"/>
          <w:highlight w:val="none"/>
          <w:u w:val="single"/>
        </w:rPr>
        <w:t>00</w:t>
      </w:r>
      <w:r>
        <w:rPr>
          <w:rFonts w:hint="eastAsia" w:ascii="宋体" w:hAnsi="宋体" w:cs="宋体"/>
          <w:spacing w:val="-2"/>
          <w:sz w:val="24"/>
          <w:szCs w:val="24"/>
          <w:highlight w:val="none"/>
          <w:u w:val="single"/>
          <w:lang w:val="en-US" w:eastAsia="zh-CN"/>
        </w:rPr>
        <w:t xml:space="preserve"> </w:t>
      </w:r>
      <w:permEnd w:id="7"/>
      <w:r>
        <w:rPr>
          <w:rFonts w:hint="eastAsia" w:ascii="宋体" w:hAnsi="宋体" w:eastAsia="宋体" w:cs="宋体"/>
          <w:spacing w:val="-2"/>
          <w:sz w:val="24"/>
          <w:szCs w:val="24"/>
          <w:highlight w:val="none"/>
        </w:rPr>
        <w:t>时前于福建安装闽安通平台</w:t>
      </w:r>
      <w:r>
        <w:rPr>
          <w:rFonts w:hint="eastAsia" w:ascii="宋体" w:hAnsi="宋体" w:eastAsia="宋体" w:cs="宋体"/>
          <w:spacing w:val="-2"/>
          <w:sz w:val="24"/>
          <w:szCs w:val="24"/>
          <w:highlight w:val="none"/>
          <w:lang w:eastAsia="zh-CN"/>
        </w:rPr>
        <w:t>（</w:t>
      </w:r>
      <w:r>
        <w:rPr>
          <w:rFonts w:hint="eastAsia" w:ascii="宋体" w:hAnsi="宋体" w:eastAsia="宋体" w:cs="宋体"/>
          <w:spacing w:val="-2"/>
          <w:sz w:val="24"/>
          <w:szCs w:val="24"/>
          <w:highlight w:val="none"/>
        </w:rPr>
        <w:t>登录网址：</w:t>
      </w:r>
      <w:r>
        <w:rPr>
          <w:rFonts w:hint="eastAsia" w:ascii="宋体" w:hAnsi="宋体" w:eastAsia="宋体" w:cs="宋体"/>
          <w:spacing w:val="-2"/>
          <w:sz w:val="24"/>
          <w:szCs w:val="24"/>
          <w:highlight w:val="none"/>
        </w:rPr>
        <w:fldChar w:fldCharType="begin"/>
      </w:r>
      <w:r>
        <w:rPr>
          <w:rFonts w:hint="eastAsia" w:ascii="宋体" w:hAnsi="宋体" w:eastAsia="宋体" w:cs="宋体"/>
          <w:spacing w:val="-2"/>
          <w:sz w:val="24"/>
          <w:szCs w:val="24"/>
          <w:highlight w:val="none"/>
        </w:rPr>
        <w:instrText xml:space="preserve"> HYPERLINK "https://fjaz.azt365.com/" </w:instrText>
      </w:r>
      <w:r>
        <w:rPr>
          <w:rFonts w:hint="eastAsia" w:ascii="宋体" w:hAnsi="宋体" w:eastAsia="宋体" w:cs="宋体"/>
          <w:spacing w:val="-2"/>
          <w:sz w:val="24"/>
          <w:szCs w:val="24"/>
          <w:highlight w:val="none"/>
        </w:rPr>
        <w:fldChar w:fldCharType="separate"/>
      </w:r>
      <w:r>
        <w:rPr>
          <w:rFonts w:hint="eastAsia" w:ascii="宋体" w:hAnsi="宋体" w:eastAsia="宋体" w:cs="宋体"/>
          <w:spacing w:val="-2"/>
          <w:sz w:val="24"/>
          <w:szCs w:val="24"/>
          <w:highlight w:val="none"/>
        </w:rPr>
        <w:t>https</w:t>
      </w:r>
      <w:r>
        <w:rPr>
          <w:rFonts w:hint="eastAsia" w:ascii="宋体" w:hAnsi="宋体" w:cs="宋体"/>
          <w:spacing w:val="-2"/>
          <w:sz w:val="24"/>
          <w:szCs w:val="24"/>
          <w:highlight w:val="none"/>
          <w:lang w:eastAsia="zh-CN"/>
        </w:rPr>
        <w:t>：</w:t>
      </w:r>
      <w:r>
        <w:rPr>
          <w:rFonts w:hint="eastAsia" w:ascii="宋体" w:hAnsi="宋体" w:eastAsia="宋体" w:cs="宋体"/>
          <w:spacing w:val="-2"/>
          <w:sz w:val="24"/>
          <w:szCs w:val="24"/>
          <w:highlight w:val="none"/>
        </w:rPr>
        <w:t>//fjaz.azt365.com/</w:t>
      </w:r>
      <w:r>
        <w:rPr>
          <w:rFonts w:hint="eastAsia" w:ascii="宋体" w:hAnsi="宋体" w:eastAsia="宋体" w:cs="宋体"/>
          <w:spacing w:val="-2"/>
          <w:sz w:val="24"/>
          <w:szCs w:val="24"/>
          <w:highlight w:val="none"/>
        </w:rPr>
        <w:fldChar w:fldCharType="end"/>
      </w:r>
      <w:r>
        <w:rPr>
          <w:rFonts w:hint="eastAsia" w:ascii="宋体" w:hAnsi="宋体" w:cs="宋体"/>
          <w:spacing w:val="-2"/>
          <w:sz w:val="24"/>
          <w:szCs w:val="24"/>
          <w:highlight w:val="none"/>
          <w:lang w:eastAsia="zh-CN"/>
        </w:rPr>
        <w:t>）</w:t>
      </w:r>
      <w:r>
        <w:rPr>
          <w:rFonts w:hint="eastAsia" w:ascii="宋体" w:hAnsi="宋体" w:eastAsia="宋体" w:cs="宋体"/>
          <w:spacing w:val="-2"/>
          <w:sz w:val="24"/>
          <w:szCs w:val="24"/>
          <w:highlight w:val="none"/>
        </w:rPr>
        <w:t>办理投标手续。</w:t>
      </w:r>
    </w:p>
    <w:p w14:paraId="2CB3087C">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6.3</w:t>
      </w: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若逾期未能有效报送投标文件，招选人不予受理，并不作任何通知。</w:t>
      </w:r>
    </w:p>
    <w:p w14:paraId="554FFEE8">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6.4</w:t>
      </w: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招标人将不对招标过程作任何解释，请投标人自行进行报名。</w:t>
      </w:r>
    </w:p>
    <w:p w14:paraId="516A6D41">
      <w:pPr>
        <w:pStyle w:val="6"/>
        <w:keepNext w:val="0"/>
        <w:keepLines w:val="0"/>
        <w:pageBreakBefore w:val="0"/>
        <w:widowControl/>
        <w:kinsoku w:val="0"/>
        <w:wordWrap/>
        <w:overflowPunct/>
        <w:topLinePunct w:val="0"/>
        <w:autoSpaceDE w:val="0"/>
        <w:autoSpaceDN w:val="0"/>
        <w:bidi w:val="0"/>
        <w:adjustRightInd w:val="0"/>
        <w:snapToGrid w:val="0"/>
        <w:spacing w:before="164" w:beforeLines="50" w:after="164" w:afterLines="50" w:line="360" w:lineRule="auto"/>
        <w:ind w:left="0" w:right="0" w:firstLine="0"/>
        <w:textAlignment w:val="baseline"/>
        <w:outlineLvl w:val="1"/>
        <w:rPr>
          <w:rFonts w:hint="eastAsia" w:ascii="宋体" w:hAnsi="宋体" w:eastAsia="宋体" w:cs="宋体"/>
          <w:b/>
          <w:bCs/>
          <w:spacing w:val="-11"/>
          <w:sz w:val="28"/>
          <w:szCs w:val="28"/>
        </w:rPr>
      </w:pPr>
      <w:r>
        <w:rPr>
          <w:rFonts w:hint="eastAsia" w:ascii="宋体" w:hAnsi="宋体" w:eastAsia="宋体" w:cs="宋体"/>
          <w:b/>
          <w:bCs/>
          <w:spacing w:val="-11"/>
          <w:sz w:val="28"/>
          <w:szCs w:val="28"/>
        </w:rPr>
        <w:t>7.发布公告</w:t>
      </w:r>
    </w:p>
    <w:p w14:paraId="37A52974">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本次招选公告在福建安装闽安通平台</w:t>
      </w:r>
      <w:r>
        <w:rPr>
          <w:rFonts w:hint="eastAsia" w:ascii="宋体" w:hAnsi="宋体" w:cs="宋体"/>
          <w:spacing w:val="-2"/>
          <w:sz w:val="24"/>
          <w:szCs w:val="24"/>
          <w:lang w:eastAsia="zh-CN"/>
        </w:rPr>
        <w:t>（</w:t>
      </w:r>
      <w:r>
        <w:rPr>
          <w:rFonts w:hint="eastAsia" w:ascii="宋体" w:hAnsi="宋体" w:eastAsia="宋体" w:cs="宋体"/>
          <w:spacing w:val="-2"/>
          <w:sz w:val="24"/>
          <w:szCs w:val="24"/>
        </w:rPr>
        <w:t>登录网址：</w:t>
      </w:r>
      <w:r>
        <w:rPr>
          <w:rFonts w:hint="eastAsia" w:ascii="宋体" w:hAnsi="宋体" w:eastAsia="宋体" w:cs="宋体"/>
          <w:spacing w:val="-2"/>
          <w:sz w:val="24"/>
          <w:szCs w:val="24"/>
        </w:rPr>
        <w:fldChar w:fldCharType="begin"/>
      </w:r>
      <w:r>
        <w:rPr>
          <w:rFonts w:hint="eastAsia" w:ascii="宋体" w:hAnsi="宋体" w:eastAsia="宋体" w:cs="宋体"/>
          <w:spacing w:val="-2"/>
          <w:sz w:val="24"/>
          <w:szCs w:val="24"/>
        </w:rPr>
        <w:instrText xml:space="preserve"> HYPERLINK "https://fjaz.azt365.com/" </w:instrText>
      </w:r>
      <w:r>
        <w:rPr>
          <w:rFonts w:hint="eastAsia" w:ascii="宋体" w:hAnsi="宋体" w:eastAsia="宋体" w:cs="宋体"/>
          <w:spacing w:val="-2"/>
          <w:sz w:val="24"/>
          <w:szCs w:val="24"/>
        </w:rPr>
        <w:fldChar w:fldCharType="separate"/>
      </w:r>
      <w:r>
        <w:rPr>
          <w:rFonts w:hint="eastAsia" w:ascii="宋体" w:hAnsi="宋体" w:eastAsia="宋体" w:cs="宋体"/>
          <w:spacing w:val="-2"/>
          <w:sz w:val="24"/>
          <w:szCs w:val="24"/>
        </w:rPr>
        <w:t>https</w:t>
      </w:r>
      <w:r>
        <w:rPr>
          <w:rFonts w:hint="eastAsia" w:ascii="宋体" w:hAnsi="宋体" w:cs="宋体"/>
          <w:spacing w:val="-2"/>
          <w:sz w:val="24"/>
          <w:szCs w:val="24"/>
          <w:lang w:eastAsia="zh-CN"/>
        </w:rPr>
        <w:t>：</w:t>
      </w:r>
      <w:r>
        <w:rPr>
          <w:rFonts w:hint="eastAsia" w:ascii="宋体" w:hAnsi="宋体" w:eastAsia="宋体" w:cs="宋体"/>
          <w:spacing w:val="-2"/>
          <w:sz w:val="24"/>
          <w:szCs w:val="24"/>
        </w:rPr>
        <w:t>//fjaz.azt365.com/</w:t>
      </w:r>
      <w:r>
        <w:rPr>
          <w:rFonts w:hint="eastAsia" w:ascii="宋体" w:hAnsi="宋体" w:eastAsia="宋体" w:cs="宋体"/>
          <w:spacing w:val="-2"/>
          <w:sz w:val="24"/>
          <w:szCs w:val="24"/>
        </w:rPr>
        <w:fldChar w:fldCharType="end"/>
      </w:r>
      <w:r>
        <w:rPr>
          <w:rFonts w:hint="eastAsia" w:ascii="宋体" w:hAnsi="宋体" w:cs="宋体"/>
          <w:spacing w:val="-2"/>
          <w:sz w:val="24"/>
          <w:szCs w:val="24"/>
          <w:lang w:eastAsia="zh-CN"/>
        </w:rPr>
        <w:t>）</w:t>
      </w:r>
      <w:r>
        <w:rPr>
          <w:rFonts w:hint="eastAsia" w:ascii="宋体" w:hAnsi="宋体" w:eastAsia="宋体" w:cs="宋体"/>
          <w:spacing w:val="-2"/>
          <w:sz w:val="24"/>
          <w:szCs w:val="24"/>
        </w:rPr>
        <w:t>上发布。</w:t>
      </w:r>
    </w:p>
    <w:p w14:paraId="237D8DF5">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联系方式</w:t>
      </w:r>
    </w:p>
    <w:p w14:paraId="1AA24247">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招标人：福建省工业设备安装有限公司</w:t>
      </w:r>
    </w:p>
    <w:p w14:paraId="2B8D7722">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商务联系人：</w:t>
      </w:r>
      <w:permStart w:id="8" w:edGrp="everyone"/>
      <w:r>
        <w:rPr>
          <w:rFonts w:hint="eastAsia" w:asciiTheme="minorEastAsia" w:hAnsiTheme="minorEastAsia" w:eastAsiaTheme="minorEastAsia" w:cstheme="minorEastAsia"/>
          <w:sz w:val="24"/>
          <w:szCs w:val="24"/>
          <w:highlight w:val="none"/>
          <w:lang w:val="en-US" w:eastAsia="zh-CN"/>
        </w:rPr>
        <w:t>郑工</w:t>
      </w:r>
    </w:p>
    <w:permEnd w:id="8"/>
    <w:p w14:paraId="4A17CB00">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电      话：</w:t>
      </w:r>
      <w:bookmarkStart w:id="5" w:name="_GoBack"/>
      <w:permStart w:id="9" w:edGrp="everyone"/>
      <w:r>
        <w:rPr>
          <w:rFonts w:hint="eastAsia" w:asciiTheme="minorEastAsia" w:hAnsiTheme="minorEastAsia" w:eastAsiaTheme="minorEastAsia" w:cstheme="minorEastAsia"/>
          <w:sz w:val="24"/>
          <w:szCs w:val="24"/>
          <w:highlight w:val="none"/>
          <w:lang w:val="en-US" w:eastAsia="zh-CN"/>
        </w:rPr>
        <w:t>17759975216</w:t>
      </w:r>
      <w:bookmarkEnd w:id="5"/>
      <w:permEnd w:id="9"/>
      <w:r>
        <w:rPr>
          <w:rFonts w:hint="eastAsia" w:ascii="宋体" w:hAnsi="宋体" w:eastAsia="宋体" w:cs="宋体"/>
          <w:spacing w:val="-2"/>
          <w:sz w:val="24"/>
          <w:szCs w:val="24"/>
        </w:rPr>
        <w:t xml:space="preserve"> </w:t>
      </w:r>
    </w:p>
    <w:p w14:paraId="75D9EACC">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default" w:ascii="宋体" w:hAnsi="宋体" w:eastAsia="宋体" w:cs="宋体"/>
          <w:spacing w:val="-2"/>
          <w:sz w:val="24"/>
          <w:szCs w:val="24"/>
          <w:lang w:val="en-US"/>
        </w:rPr>
      </w:pPr>
      <w:r>
        <w:rPr>
          <w:rFonts w:hint="eastAsia" w:ascii="宋体" w:hAnsi="宋体" w:eastAsia="宋体" w:cs="宋体"/>
          <w:spacing w:val="-2"/>
          <w:sz w:val="24"/>
          <w:szCs w:val="24"/>
        </w:rPr>
        <w:t>技术联系人：</w:t>
      </w:r>
      <w:permStart w:id="10" w:edGrp="everyone"/>
      <w:r>
        <w:rPr>
          <w:rFonts w:hint="eastAsia" w:ascii="宋体" w:hAnsi="宋体" w:cs="宋体"/>
          <w:spacing w:val="-2"/>
          <w:sz w:val="24"/>
          <w:szCs w:val="24"/>
          <w:lang w:val="en-US" w:eastAsia="zh-CN"/>
        </w:rPr>
        <w:t>魏治忠</w:t>
      </w:r>
      <w:permEnd w:id="10"/>
    </w:p>
    <w:p w14:paraId="6DD31A45">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default" w:ascii="宋体" w:hAnsi="宋体" w:eastAsia="宋体" w:cs="宋体"/>
          <w:spacing w:val="-2"/>
          <w:sz w:val="24"/>
          <w:szCs w:val="24"/>
          <w:lang w:val="en-US" w:eastAsia="zh-CN"/>
        </w:rPr>
      </w:pPr>
      <w:r>
        <w:rPr>
          <w:rFonts w:hint="eastAsia" w:ascii="宋体" w:hAnsi="宋体" w:eastAsia="宋体" w:cs="宋体"/>
          <w:spacing w:val="-2"/>
          <w:sz w:val="24"/>
          <w:szCs w:val="24"/>
        </w:rPr>
        <w:t>电      话：</w:t>
      </w:r>
      <w:permStart w:id="11" w:edGrp="everyone"/>
      <w:r>
        <w:rPr>
          <w:rFonts w:hint="eastAsia" w:ascii="宋体" w:hAnsi="宋体" w:cs="宋体"/>
          <w:spacing w:val="-2"/>
          <w:sz w:val="24"/>
          <w:szCs w:val="24"/>
          <w:lang w:val="en-US" w:eastAsia="zh-CN"/>
        </w:rPr>
        <w:t>18094152008</w:t>
      </w:r>
    </w:p>
    <w:permEnd w:id="11"/>
    <w:p w14:paraId="08DB0F87">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p>
    <w:p w14:paraId="3AEE68FB">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center"/>
        <w:textAlignment w:val="baseline"/>
        <w:rPr>
          <w:rFonts w:hint="eastAsia" w:ascii="宋体" w:hAnsi="宋体" w:cs="宋体"/>
          <w:spacing w:val="-2"/>
          <w:sz w:val="24"/>
          <w:szCs w:val="24"/>
          <w:lang w:val="en-US" w:eastAsia="zh-CN"/>
        </w:rPr>
      </w:pPr>
      <w:r>
        <w:rPr>
          <w:rFonts w:hint="eastAsia" w:ascii="宋体" w:hAnsi="宋体" w:cs="宋体"/>
          <w:spacing w:val="-2"/>
          <w:sz w:val="24"/>
          <w:szCs w:val="24"/>
          <w:lang w:val="en-US" w:eastAsia="zh-CN"/>
        </w:rPr>
        <w:t xml:space="preserve">                   </w:t>
      </w:r>
    </w:p>
    <w:p w14:paraId="0CBED031">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center"/>
        <w:textAlignment w:val="baseline"/>
        <w:rPr>
          <w:rFonts w:hint="eastAsia" w:ascii="宋体" w:hAnsi="宋体" w:cs="宋体"/>
          <w:spacing w:val="-2"/>
          <w:sz w:val="24"/>
          <w:szCs w:val="24"/>
          <w:lang w:val="en-US" w:eastAsia="zh-CN"/>
        </w:rPr>
      </w:pPr>
      <w:r>
        <w:rPr>
          <w:rFonts w:hint="eastAsia" w:ascii="宋体" w:hAnsi="宋体" w:cs="宋体"/>
          <w:spacing w:val="-2"/>
          <w:sz w:val="24"/>
          <w:szCs w:val="24"/>
          <w:lang w:val="en-US" w:eastAsia="zh-CN"/>
        </w:rPr>
        <w:t xml:space="preserve">                  </w:t>
      </w:r>
    </w:p>
    <w:p w14:paraId="2317AFE4">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rPr>
      </w:pPr>
      <w:r>
        <w:rPr>
          <w:rFonts w:hint="eastAsia" w:ascii="宋体" w:hAnsi="宋体" w:cs="宋体"/>
          <w:spacing w:val="-2"/>
          <w:sz w:val="24"/>
          <w:szCs w:val="24"/>
          <w:lang w:val="en-US" w:eastAsia="zh-CN"/>
        </w:rPr>
        <w:t xml:space="preserve">                                 </w:t>
      </w:r>
      <w:r>
        <w:rPr>
          <w:rFonts w:hint="eastAsia" w:ascii="宋体" w:hAnsi="宋体" w:eastAsia="宋体" w:cs="宋体"/>
          <w:spacing w:val="-2"/>
          <w:sz w:val="24"/>
          <w:szCs w:val="24"/>
        </w:rPr>
        <w:t>福建省工业设备安装有限公司</w:t>
      </w:r>
    </w:p>
    <w:p w14:paraId="18181C90">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right="0" w:firstLine="5192" w:firstLineChars="2200"/>
        <w:jc w:val="both"/>
        <w:textAlignment w:val="baseline"/>
        <w:rPr>
          <w:rFonts w:hint="eastAsia" w:ascii="宋体" w:hAnsi="宋体" w:eastAsia="宋体" w:cs="宋体"/>
          <w:spacing w:val="-2"/>
          <w:sz w:val="24"/>
          <w:szCs w:val="24"/>
          <w:highlight w:val="none"/>
        </w:rPr>
      </w:pPr>
      <w:permStart w:id="12" w:edGrp="everyone"/>
      <w:r>
        <w:rPr>
          <w:rFonts w:hint="eastAsia" w:ascii="宋体" w:hAnsi="宋体" w:cs="宋体"/>
          <w:spacing w:val="-2"/>
          <w:sz w:val="24"/>
          <w:szCs w:val="24"/>
          <w:highlight w:val="none"/>
          <w:lang w:val="en-US" w:eastAsia="zh-CN"/>
        </w:rPr>
        <w:t>2025</w:t>
      </w:r>
      <w:r>
        <w:rPr>
          <w:rFonts w:hint="eastAsia" w:ascii="宋体" w:hAnsi="宋体" w:eastAsia="宋体" w:cs="宋体"/>
          <w:spacing w:val="-2"/>
          <w:sz w:val="24"/>
          <w:szCs w:val="24"/>
          <w:highlight w:val="none"/>
        </w:rPr>
        <w:t>年</w:t>
      </w:r>
      <w:r>
        <w:rPr>
          <w:rFonts w:hint="eastAsia" w:ascii="宋体" w:hAnsi="宋体" w:cs="宋体"/>
          <w:spacing w:val="-2"/>
          <w:sz w:val="24"/>
          <w:szCs w:val="24"/>
          <w:highlight w:val="none"/>
          <w:lang w:val="en-US" w:eastAsia="zh-CN"/>
        </w:rPr>
        <w:t>06</w:t>
      </w:r>
      <w:r>
        <w:rPr>
          <w:rFonts w:hint="eastAsia" w:ascii="宋体" w:hAnsi="宋体" w:eastAsia="宋体" w:cs="宋体"/>
          <w:spacing w:val="-2"/>
          <w:sz w:val="24"/>
          <w:szCs w:val="24"/>
          <w:highlight w:val="none"/>
        </w:rPr>
        <w:t>月</w:t>
      </w:r>
      <w:r>
        <w:rPr>
          <w:rFonts w:hint="eastAsia" w:ascii="宋体" w:hAnsi="宋体" w:cs="宋体"/>
          <w:spacing w:val="-2"/>
          <w:sz w:val="24"/>
          <w:szCs w:val="24"/>
          <w:highlight w:val="none"/>
          <w:lang w:val="en-US" w:eastAsia="zh-CN"/>
        </w:rPr>
        <w:t>23</w:t>
      </w:r>
      <w:r>
        <w:rPr>
          <w:rFonts w:hint="eastAsia" w:ascii="宋体" w:hAnsi="宋体" w:eastAsia="宋体" w:cs="宋体"/>
          <w:spacing w:val="-2"/>
          <w:sz w:val="24"/>
          <w:szCs w:val="24"/>
          <w:highlight w:val="none"/>
        </w:rPr>
        <w:t>日</w:t>
      </w:r>
    </w:p>
    <w:permEnd w:id="12"/>
    <w:p w14:paraId="0A788B54">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br w:type="page"/>
      </w:r>
    </w:p>
    <w:p w14:paraId="5071B94A">
      <w:pPr>
        <w:pStyle w:val="6"/>
        <w:keepNext w:val="0"/>
        <w:keepLines w:val="0"/>
        <w:pageBreakBefore w:val="0"/>
        <w:widowControl/>
        <w:kinsoku w:val="0"/>
        <w:wordWrap/>
        <w:overflowPunct/>
        <w:topLinePunct w:val="0"/>
        <w:autoSpaceDE w:val="0"/>
        <w:autoSpaceDN w:val="0"/>
        <w:bidi w:val="0"/>
        <w:adjustRightInd w:val="0"/>
        <w:snapToGrid w:val="0"/>
        <w:spacing w:before="327" w:beforeLines="100" w:after="327" w:afterLines="100" w:line="240" w:lineRule="auto"/>
        <w:ind w:left="0" w:right="0" w:firstLine="0"/>
        <w:textAlignment w:val="baseline"/>
        <w:outlineLvl w:val="0"/>
        <w:rPr>
          <w:rFonts w:hint="eastAsia" w:ascii="宋体" w:hAnsi="宋体" w:eastAsia="宋体" w:cs="宋体"/>
          <w:b/>
          <w:bCs/>
          <w:spacing w:val="7"/>
          <w:sz w:val="32"/>
          <w:szCs w:val="32"/>
          <w:lang w:val="en-US" w:eastAsia="zh-CN"/>
        </w:rPr>
      </w:pPr>
      <w:r>
        <w:rPr>
          <w:rFonts w:hint="eastAsia" w:ascii="宋体" w:hAnsi="宋体" w:eastAsia="宋体" w:cs="宋体"/>
          <w:b/>
          <w:bCs/>
          <w:spacing w:val="7"/>
          <w:sz w:val="32"/>
          <w:szCs w:val="32"/>
          <w:lang w:val="en-US" w:eastAsia="zh-CN"/>
        </w:rPr>
        <w:t>二、工程范围及技术规范</w:t>
      </w:r>
    </w:p>
    <w:p w14:paraId="11063D99">
      <w:pPr>
        <w:pStyle w:val="6"/>
        <w:keepNext w:val="0"/>
        <w:keepLines w:val="0"/>
        <w:pageBreakBefore w:val="0"/>
        <w:widowControl/>
        <w:kinsoku w:val="0"/>
        <w:wordWrap/>
        <w:overflowPunct/>
        <w:topLinePunct w:val="0"/>
        <w:autoSpaceDE w:val="0"/>
        <w:autoSpaceDN w:val="0"/>
        <w:bidi w:val="0"/>
        <w:adjustRightInd w:val="0"/>
        <w:snapToGrid w:val="0"/>
        <w:spacing w:before="164" w:beforeLines="50" w:after="164" w:afterLines="50" w:line="360" w:lineRule="auto"/>
        <w:ind w:left="0" w:right="0" w:firstLine="0"/>
        <w:textAlignment w:val="baseline"/>
        <w:outlineLvl w:val="1"/>
        <w:rPr>
          <w:rFonts w:hint="eastAsia" w:ascii="宋体" w:hAnsi="宋体" w:eastAsia="宋体" w:cs="宋体"/>
          <w:b/>
          <w:bCs/>
          <w:spacing w:val="-11"/>
          <w:sz w:val="28"/>
          <w:szCs w:val="28"/>
        </w:rPr>
      </w:pPr>
      <w:r>
        <w:rPr>
          <w:rFonts w:hint="eastAsia" w:ascii="宋体" w:hAnsi="宋体" w:eastAsia="宋体" w:cs="宋体"/>
          <w:b/>
          <w:bCs/>
          <w:spacing w:val="-11"/>
          <w:sz w:val="28"/>
          <w:szCs w:val="28"/>
        </w:rPr>
        <w:t>1.工程概况</w:t>
      </w:r>
    </w:p>
    <w:p w14:paraId="3FE3CA81">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u w:val="single"/>
          <w:lang w:val="en-US" w:eastAsia="zh-CN"/>
        </w:rPr>
      </w:pPr>
      <w:r>
        <w:rPr>
          <w:rFonts w:hint="eastAsia" w:ascii="宋体" w:hAnsi="宋体" w:eastAsia="宋体" w:cs="宋体"/>
          <w:spacing w:val="-2"/>
          <w:sz w:val="24"/>
          <w:szCs w:val="24"/>
          <w:highlight w:val="none"/>
        </w:rPr>
        <w:t>1.1</w:t>
      </w:r>
      <w:r>
        <w:rPr>
          <w:rFonts w:hint="eastAsia" w:ascii="宋体" w:hAnsi="宋体" w:cs="宋体"/>
          <w:spacing w:val="-2"/>
          <w:sz w:val="24"/>
          <w:szCs w:val="24"/>
          <w:highlight w:val="none"/>
          <w:lang w:val="en-US" w:eastAsia="zh-CN"/>
        </w:rPr>
        <w:t xml:space="preserve"> </w:t>
      </w:r>
      <w:r>
        <w:rPr>
          <w:rFonts w:hint="eastAsia" w:ascii="宋体" w:hAnsi="宋体" w:eastAsia="宋体" w:cs="宋体"/>
          <w:spacing w:val="-2"/>
          <w:sz w:val="24"/>
          <w:szCs w:val="24"/>
          <w:highlight w:val="none"/>
        </w:rPr>
        <w:t>项目名称：</w:t>
      </w:r>
      <w:permStart w:id="13" w:edGrp="everyone"/>
      <w:r>
        <w:rPr>
          <w:rFonts w:hint="eastAsia" w:ascii="宋体" w:hAnsi="宋体" w:cs="宋体"/>
          <w:spacing w:val="-2"/>
          <w:sz w:val="24"/>
          <w:szCs w:val="24"/>
          <w:highlight w:val="none"/>
          <w:lang w:eastAsia="zh-CN"/>
        </w:rPr>
        <w:t>浙石化2025炼油芳烃事业部大修(1#气提、2#硫磺、4#硫磺)项目隐患消缺中补焊及管道技改</w:t>
      </w:r>
      <w:r>
        <w:rPr>
          <w:rFonts w:hint="eastAsia" w:ascii="宋体" w:hAnsi="宋体" w:cs="宋体"/>
          <w:spacing w:val="-2"/>
          <w:sz w:val="24"/>
          <w:szCs w:val="24"/>
          <w:highlight w:val="none"/>
          <w:lang w:val="en-US" w:eastAsia="zh-CN"/>
        </w:rPr>
        <w:t>等</w:t>
      </w:r>
      <w:r>
        <w:rPr>
          <w:rFonts w:hint="eastAsia" w:ascii="宋体" w:hAnsi="宋体" w:cs="宋体"/>
          <w:spacing w:val="-2"/>
          <w:sz w:val="24"/>
          <w:szCs w:val="24"/>
          <w:highlight w:val="none"/>
          <w:lang w:eastAsia="zh-CN"/>
        </w:rPr>
        <w:t>施工内容</w:t>
      </w:r>
    </w:p>
    <w:permEnd w:id="13"/>
    <w:p w14:paraId="2D6DB639">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1.2</w:t>
      </w:r>
      <w:r>
        <w:rPr>
          <w:rFonts w:hint="eastAsia" w:ascii="宋体" w:hAnsi="宋体" w:cs="宋体"/>
          <w:spacing w:val="-2"/>
          <w:sz w:val="24"/>
          <w:szCs w:val="24"/>
          <w:lang w:val="en-US" w:eastAsia="zh-CN"/>
        </w:rPr>
        <w:t xml:space="preserve"> </w:t>
      </w:r>
      <w:r>
        <w:rPr>
          <w:rFonts w:hint="eastAsia" w:ascii="宋体" w:hAnsi="宋体" w:eastAsia="宋体" w:cs="宋体"/>
          <w:spacing w:val="-2"/>
          <w:sz w:val="24"/>
          <w:szCs w:val="24"/>
        </w:rPr>
        <w:t>工程地址：</w:t>
      </w:r>
      <w:r>
        <w:rPr>
          <w:rFonts w:hint="eastAsia" w:ascii="宋体" w:hAnsi="宋体" w:eastAsia="宋体" w:cs="宋体"/>
          <w:spacing w:val="-2"/>
          <w:sz w:val="24"/>
          <w:szCs w:val="24"/>
          <w:u w:val="single"/>
        </w:rPr>
        <w:t>浙江省舟山市鱼山岛</w:t>
      </w:r>
    </w:p>
    <w:p w14:paraId="159CFB4B">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1.3</w:t>
      </w:r>
      <w:r>
        <w:rPr>
          <w:rFonts w:hint="eastAsia" w:ascii="宋体" w:hAnsi="宋体" w:cs="宋体"/>
          <w:spacing w:val="-2"/>
          <w:sz w:val="24"/>
          <w:szCs w:val="24"/>
          <w:lang w:val="en-US" w:eastAsia="zh-CN"/>
        </w:rPr>
        <w:t xml:space="preserve"> </w:t>
      </w:r>
      <w:r>
        <w:rPr>
          <w:rFonts w:hint="eastAsia" w:ascii="宋体" w:hAnsi="宋体" w:eastAsia="宋体" w:cs="宋体"/>
          <w:spacing w:val="-2"/>
          <w:sz w:val="24"/>
          <w:szCs w:val="24"/>
        </w:rPr>
        <w:t>建设单位：</w:t>
      </w:r>
      <w:r>
        <w:rPr>
          <w:rFonts w:hint="eastAsia" w:ascii="宋体" w:hAnsi="宋体" w:eastAsia="宋体" w:cs="宋体"/>
          <w:spacing w:val="-2"/>
          <w:sz w:val="24"/>
          <w:szCs w:val="24"/>
          <w:u w:val="single"/>
        </w:rPr>
        <w:t>浙江石油化工有限公司</w:t>
      </w:r>
    </w:p>
    <w:p w14:paraId="3BF9210A">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u w:val="single"/>
        </w:rPr>
      </w:pPr>
      <w:r>
        <w:rPr>
          <w:rFonts w:hint="eastAsia" w:ascii="宋体" w:hAnsi="宋体" w:eastAsia="宋体" w:cs="宋体"/>
          <w:spacing w:val="-2"/>
          <w:sz w:val="24"/>
          <w:szCs w:val="24"/>
        </w:rPr>
        <w:t>1.4</w:t>
      </w:r>
      <w:r>
        <w:rPr>
          <w:rFonts w:hint="eastAsia" w:ascii="宋体" w:hAnsi="宋体" w:cs="宋体"/>
          <w:spacing w:val="-2"/>
          <w:sz w:val="24"/>
          <w:szCs w:val="24"/>
          <w:lang w:val="en-US" w:eastAsia="zh-CN"/>
        </w:rPr>
        <w:t xml:space="preserve"> </w:t>
      </w:r>
      <w:r>
        <w:rPr>
          <w:rFonts w:hint="eastAsia" w:ascii="宋体" w:hAnsi="宋体" w:eastAsia="宋体" w:cs="宋体"/>
          <w:spacing w:val="-2"/>
          <w:sz w:val="24"/>
          <w:szCs w:val="24"/>
        </w:rPr>
        <w:t>施工单位：</w:t>
      </w:r>
      <w:r>
        <w:rPr>
          <w:rFonts w:hint="eastAsia" w:ascii="宋体" w:hAnsi="宋体" w:eastAsia="宋体" w:cs="宋体"/>
          <w:spacing w:val="-2"/>
          <w:sz w:val="24"/>
          <w:szCs w:val="24"/>
          <w:u w:val="single"/>
        </w:rPr>
        <w:t>福建省工业设备安装有限公司</w:t>
      </w:r>
    </w:p>
    <w:p w14:paraId="02C2A575">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1.5</w:t>
      </w:r>
      <w:r>
        <w:rPr>
          <w:rFonts w:hint="eastAsia" w:ascii="宋体" w:hAnsi="宋体" w:cs="宋体"/>
          <w:spacing w:val="-2"/>
          <w:sz w:val="24"/>
          <w:szCs w:val="24"/>
          <w:lang w:val="en-US" w:eastAsia="zh-CN"/>
        </w:rPr>
        <w:t xml:space="preserve"> </w:t>
      </w:r>
      <w:r>
        <w:rPr>
          <w:rFonts w:hint="eastAsia" w:ascii="宋体" w:hAnsi="宋体" w:eastAsia="宋体" w:cs="宋体"/>
          <w:spacing w:val="-2"/>
          <w:sz w:val="24"/>
          <w:szCs w:val="24"/>
        </w:rPr>
        <w:t>付款方式：</w:t>
      </w:r>
      <w:permStart w:id="14" w:edGrp="everyone"/>
      <w:r>
        <w:rPr>
          <w:rFonts w:hint="eastAsia" w:ascii="宋体" w:hAnsi="宋体" w:cs="宋体"/>
          <w:spacing w:val="-2"/>
          <w:sz w:val="24"/>
          <w:szCs w:val="24"/>
          <w:lang w:val="en-US" w:eastAsia="zh-CN"/>
        </w:rPr>
        <w:t>本工程无预付款。</w:t>
      </w:r>
      <w:r>
        <w:rPr>
          <w:rFonts w:hint="eastAsia" w:ascii="宋体" w:hAnsi="宋体" w:eastAsia="宋体" w:cs="宋体"/>
          <w:spacing w:val="-2"/>
          <w:sz w:val="24"/>
          <w:szCs w:val="24"/>
          <w:lang w:val="en-US" w:eastAsia="zh-CN"/>
        </w:rPr>
        <w:t>工程款按检修完成后，一周内工程进度款支付至50%，工程进度审核完成后乙方按已完工程量85%申请进度款；检修结束验收合格后办理结算，支付结算尾款。</w:t>
      </w:r>
      <w:r>
        <w:rPr>
          <w:rFonts w:hint="eastAsia" w:ascii="宋体" w:hAnsi="宋体" w:eastAsia="宋体" w:cs="宋体"/>
          <w:spacing w:val="-2"/>
          <w:sz w:val="24"/>
          <w:szCs w:val="24"/>
        </w:rPr>
        <w:t>本合同所有资料齐全（符合甲方要求）并提交竣工结算报告，</w:t>
      </w:r>
      <w:permEnd w:id="14"/>
      <w:r>
        <w:rPr>
          <w:rFonts w:hint="eastAsia" w:ascii="宋体" w:hAnsi="宋体" w:eastAsia="宋体" w:cs="宋体"/>
          <w:spacing w:val="-2"/>
          <w:sz w:val="24"/>
          <w:szCs w:val="24"/>
        </w:rPr>
        <w:t>甲乙双方根据乙方实际完成的工程量和本合同规定的计价方式进行结算（履约保证金和安全保证金的扣罚</w:t>
      </w:r>
      <w:r>
        <w:rPr>
          <w:rFonts w:hint="eastAsia" w:ascii="宋体" w:hAnsi="宋体" w:eastAsia="宋体" w:cs="宋体"/>
          <w:color w:val="auto"/>
          <w:spacing w:val="-2"/>
          <w:sz w:val="24"/>
          <w:szCs w:val="24"/>
        </w:rPr>
        <w:t>按合同第</w:t>
      </w:r>
      <w:r>
        <w:rPr>
          <w:rFonts w:hint="eastAsia" w:ascii="宋体" w:hAnsi="宋体" w:cs="宋体"/>
          <w:color w:val="auto"/>
          <w:spacing w:val="-2"/>
          <w:sz w:val="24"/>
          <w:szCs w:val="24"/>
          <w:lang w:val="en-US" w:eastAsia="zh-CN"/>
        </w:rPr>
        <w:t>十</w:t>
      </w:r>
      <w:r>
        <w:rPr>
          <w:rFonts w:hint="eastAsia" w:ascii="宋体" w:hAnsi="宋体" w:eastAsia="宋体" w:cs="宋体"/>
          <w:color w:val="auto"/>
          <w:spacing w:val="-2"/>
          <w:sz w:val="24"/>
          <w:szCs w:val="24"/>
        </w:rPr>
        <w:t>条执行</w:t>
      </w:r>
      <w:r>
        <w:rPr>
          <w:rFonts w:hint="eastAsia" w:ascii="宋体" w:hAnsi="宋体" w:eastAsia="宋体" w:cs="宋体"/>
          <w:spacing w:val="-2"/>
          <w:sz w:val="24"/>
          <w:szCs w:val="24"/>
        </w:rPr>
        <w:t>，如有扣罚款在结算中扣减</w:t>
      </w:r>
      <w:r>
        <w:rPr>
          <w:rFonts w:hint="eastAsia" w:ascii="宋体" w:hAnsi="宋体" w:cs="宋体"/>
          <w:spacing w:val="-2"/>
          <w:sz w:val="24"/>
          <w:szCs w:val="24"/>
          <w:lang w:eastAsia="zh-CN"/>
        </w:rPr>
        <w:t>）</w:t>
      </w:r>
      <w:r>
        <w:rPr>
          <w:rFonts w:hint="eastAsia" w:ascii="宋体" w:hAnsi="宋体" w:eastAsia="宋体" w:cs="宋体"/>
          <w:spacing w:val="-2"/>
          <w:sz w:val="24"/>
          <w:szCs w:val="24"/>
        </w:rPr>
        <w:t>后，按甲方确定的结算价的95%支付（该款项含应退还的履约保证金和安全保证金</w:t>
      </w:r>
      <w:r>
        <w:rPr>
          <w:rFonts w:hint="eastAsia" w:ascii="宋体" w:hAnsi="宋体" w:cs="宋体"/>
          <w:spacing w:val="-2"/>
          <w:sz w:val="24"/>
          <w:szCs w:val="24"/>
          <w:lang w:eastAsia="zh-CN"/>
        </w:rPr>
        <w:t>）</w:t>
      </w:r>
      <w:r>
        <w:rPr>
          <w:rFonts w:hint="eastAsia" w:ascii="宋体" w:hAnsi="宋体" w:eastAsia="宋体" w:cs="宋体"/>
          <w:spacing w:val="-2"/>
          <w:sz w:val="24"/>
          <w:szCs w:val="24"/>
        </w:rPr>
        <w:t>，剩余5%作为工程质保金，</w:t>
      </w:r>
      <w:r>
        <w:rPr>
          <w:rFonts w:hint="eastAsia" w:ascii="宋体" w:hAnsi="宋体" w:eastAsia="宋体" w:cs="宋体"/>
          <w:b/>
          <w:bCs/>
          <w:spacing w:val="-2"/>
          <w:sz w:val="24"/>
          <w:szCs w:val="24"/>
        </w:rPr>
        <w:t>本工程缺陷保修期24个月</w:t>
      </w:r>
      <w:r>
        <w:rPr>
          <w:rFonts w:hint="eastAsia" w:ascii="宋体" w:hAnsi="宋体" w:eastAsia="宋体" w:cs="宋体"/>
          <w:spacing w:val="-2"/>
          <w:sz w:val="24"/>
          <w:szCs w:val="24"/>
        </w:rPr>
        <w:t>，缺陷保修期满后14天内返还（不计息</w:t>
      </w:r>
      <w:r>
        <w:rPr>
          <w:rFonts w:hint="eastAsia" w:ascii="宋体" w:hAnsi="宋体" w:cs="宋体"/>
          <w:spacing w:val="-2"/>
          <w:sz w:val="24"/>
          <w:szCs w:val="24"/>
          <w:lang w:eastAsia="zh-CN"/>
        </w:rPr>
        <w:t>）</w:t>
      </w:r>
      <w:r>
        <w:rPr>
          <w:rFonts w:hint="eastAsia" w:ascii="宋体" w:hAnsi="宋体" w:eastAsia="宋体" w:cs="宋体"/>
          <w:spacing w:val="-2"/>
          <w:sz w:val="24"/>
          <w:szCs w:val="24"/>
        </w:rPr>
        <w:t>。在保修期结束且无工程质量问题及其他违约行为的情况下支付乙方。乙方应按规定要求进行保修，若乙方在保修期内没有及时履行保修义务，则甲方有权委托其他单位进行维修，维修费用在乙方的保修金内扣除，若保修金余额不足时，甲方可向乙方追偿</w:t>
      </w:r>
      <w:r>
        <w:rPr>
          <w:rFonts w:hint="eastAsia" w:ascii="宋体" w:hAnsi="宋体" w:cs="宋体"/>
          <w:spacing w:val="-2"/>
          <w:sz w:val="24"/>
          <w:szCs w:val="24"/>
          <w:lang w:eastAsia="zh-CN"/>
        </w:rPr>
        <w:t>）</w:t>
      </w:r>
      <w:r>
        <w:rPr>
          <w:rFonts w:hint="eastAsia" w:ascii="宋体" w:hAnsi="宋体" w:eastAsia="宋体" w:cs="宋体"/>
          <w:spacing w:val="-2"/>
          <w:sz w:val="24"/>
          <w:szCs w:val="24"/>
        </w:rPr>
        <w:t>，保修金不计息。付款为电汇或银行承兑汇票。</w:t>
      </w:r>
    </w:p>
    <w:p w14:paraId="448C69D8">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default" w:ascii="宋体" w:hAnsi="宋体" w:eastAsia="宋体" w:cs="宋体"/>
          <w:i w:val="0"/>
          <w:iCs w:val="0"/>
          <w:caps w:val="0"/>
          <w:spacing w:val="-2"/>
          <w:sz w:val="24"/>
          <w:szCs w:val="24"/>
          <w:highlight w:val="none"/>
          <w:lang w:val="en-US" w:eastAsia="zh-CN"/>
        </w:rPr>
      </w:pPr>
      <w:r>
        <w:rPr>
          <w:rFonts w:hint="eastAsia" w:ascii="宋体" w:hAnsi="宋体" w:eastAsia="宋体" w:cs="宋体"/>
          <w:spacing w:val="-2"/>
          <w:sz w:val="24"/>
          <w:szCs w:val="24"/>
        </w:rPr>
        <w:t>1.6</w:t>
      </w:r>
      <w:r>
        <w:rPr>
          <w:rFonts w:hint="eastAsia" w:ascii="宋体" w:hAnsi="宋体" w:cs="宋体"/>
          <w:spacing w:val="-2"/>
          <w:sz w:val="24"/>
          <w:szCs w:val="24"/>
          <w:lang w:val="en-US" w:eastAsia="zh-CN"/>
        </w:rPr>
        <w:t xml:space="preserve"> </w:t>
      </w:r>
      <w:r>
        <w:rPr>
          <w:rFonts w:hint="eastAsia" w:ascii="宋体" w:hAnsi="宋体" w:eastAsia="宋体" w:cs="宋体"/>
          <w:spacing w:val="-2"/>
          <w:sz w:val="24"/>
          <w:szCs w:val="24"/>
        </w:rPr>
        <w:t>专业工程（劳务</w:t>
      </w:r>
      <w:r>
        <w:rPr>
          <w:rFonts w:hint="eastAsia" w:ascii="宋体" w:hAnsi="宋体" w:cs="宋体"/>
          <w:spacing w:val="-2"/>
          <w:sz w:val="24"/>
          <w:szCs w:val="24"/>
          <w:lang w:eastAsia="zh-CN"/>
        </w:rPr>
        <w:t>）</w:t>
      </w:r>
      <w:r>
        <w:rPr>
          <w:rFonts w:hint="eastAsia" w:ascii="宋体" w:hAnsi="宋体" w:eastAsia="宋体" w:cs="宋体"/>
          <w:spacing w:val="-2"/>
          <w:sz w:val="24"/>
          <w:szCs w:val="24"/>
        </w:rPr>
        <w:t>范围与内容：</w:t>
      </w:r>
      <w:permStart w:id="15" w:edGrp="everyone"/>
      <w:r>
        <w:rPr>
          <w:rFonts w:hint="eastAsia" w:ascii="宋体" w:hAnsi="宋体" w:cs="宋体"/>
          <w:spacing w:val="-2"/>
          <w:sz w:val="24"/>
          <w:szCs w:val="24"/>
          <w:highlight w:val="none"/>
          <w:lang w:val="en-US" w:eastAsia="zh-CN"/>
        </w:rPr>
        <w:t>隐患消缺中补焊及管道技改等</w:t>
      </w:r>
      <w:permEnd w:id="15"/>
      <w:r>
        <w:rPr>
          <w:rFonts w:hint="eastAsia" w:ascii="宋体" w:hAnsi="宋体" w:eastAsia="宋体" w:cs="宋体"/>
          <w:i w:val="0"/>
          <w:iCs w:val="0"/>
          <w:caps w:val="0"/>
          <w:spacing w:val="-2"/>
          <w:sz w:val="24"/>
          <w:szCs w:val="24"/>
          <w:highlight w:val="none"/>
        </w:rPr>
        <w:t>。具体工作内容详见工程量清单。</w:t>
      </w:r>
    </w:p>
    <w:p w14:paraId="23CA98C1">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cs="宋体"/>
          <w:spacing w:val="-2"/>
          <w:sz w:val="24"/>
          <w:szCs w:val="24"/>
          <w:lang w:val="en-US" w:eastAsia="zh-CN"/>
        </w:rPr>
      </w:pPr>
      <w:r>
        <w:rPr>
          <w:rFonts w:hint="eastAsia" w:ascii="宋体" w:hAnsi="宋体" w:eastAsia="宋体" w:cs="宋体"/>
          <w:spacing w:val="-2"/>
          <w:sz w:val="24"/>
          <w:szCs w:val="24"/>
          <w:lang w:val="en-US" w:eastAsia="zh-CN"/>
        </w:rPr>
        <w:t>1.7</w:t>
      </w:r>
      <w:r>
        <w:rPr>
          <w:rFonts w:hint="eastAsia" w:ascii="宋体" w:hAnsi="宋体" w:cs="宋体"/>
          <w:spacing w:val="-2"/>
          <w:sz w:val="24"/>
          <w:szCs w:val="24"/>
          <w:lang w:val="en-US" w:eastAsia="zh-CN"/>
        </w:rPr>
        <w:t xml:space="preserve"> </w:t>
      </w:r>
      <w:r>
        <w:rPr>
          <w:rFonts w:hint="eastAsia" w:ascii="宋体" w:hAnsi="宋体" w:eastAsia="宋体" w:cs="宋体"/>
          <w:spacing w:val="-2"/>
          <w:sz w:val="24"/>
          <w:szCs w:val="24"/>
          <w:lang w:val="en-US" w:eastAsia="zh-CN"/>
        </w:rPr>
        <w:t>承包方式：</w:t>
      </w:r>
      <w:permStart w:id="16" w:edGrp="everyone"/>
      <w:r>
        <w:rPr>
          <w:rFonts w:hint="eastAsia" w:ascii="宋体" w:hAnsi="宋体" w:eastAsia="宋体" w:cs="宋体"/>
          <w:spacing w:val="-2"/>
          <w:sz w:val="24"/>
          <w:szCs w:val="24"/>
          <w:lang w:val="en-US" w:eastAsia="zh-CN"/>
        </w:rPr>
        <w:t>综合单价</w:t>
      </w:r>
      <w:r>
        <w:rPr>
          <w:rFonts w:hint="eastAsia" w:ascii="宋体" w:hAnsi="宋体" w:cs="宋体"/>
          <w:spacing w:val="-2"/>
          <w:sz w:val="24"/>
          <w:szCs w:val="24"/>
          <w:lang w:val="en-US" w:eastAsia="zh-CN"/>
        </w:rPr>
        <w:t>或</w:t>
      </w:r>
      <w:r>
        <w:rPr>
          <w:rFonts w:hint="eastAsia" w:ascii="宋体" w:hAnsi="宋体" w:eastAsia="宋体" w:cs="宋体"/>
          <w:spacing w:val="-2"/>
          <w:sz w:val="24"/>
          <w:szCs w:val="24"/>
          <w:lang w:val="en-US" w:eastAsia="zh-CN"/>
        </w:rPr>
        <w:t>包干，按实结算</w:t>
      </w:r>
      <w:r>
        <w:rPr>
          <w:rFonts w:hint="eastAsia" w:ascii="宋体" w:hAnsi="宋体" w:cs="宋体"/>
          <w:spacing w:val="-2"/>
          <w:sz w:val="24"/>
          <w:szCs w:val="24"/>
          <w:lang w:val="en-US" w:eastAsia="zh-CN"/>
        </w:rPr>
        <w:t>。</w:t>
      </w:r>
    </w:p>
    <w:p w14:paraId="1ADFD09A">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如果乙方单价合同实际施工量有可能超出暂估金额时，则乙方应提前申报并签订补充协议，否则甲方有权利拒绝支付超额工程款及违约金。如结算价达不到预估价，乙方亦不得据此要求调整计价方式或提出其它诉求</w:t>
      </w:r>
      <w:permEnd w:id="16"/>
      <w:r>
        <w:rPr>
          <w:rFonts w:hint="eastAsia" w:ascii="宋体" w:hAnsi="宋体" w:cs="宋体"/>
          <w:spacing w:val="-2"/>
          <w:sz w:val="24"/>
          <w:szCs w:val="24"/>
          <w:lang w:val="en-US" w:eastAsia="zh-CN"/>
        </w:rPr>
        <w:t>。</w:t>
      </w:r>
    </w:p>
    <w:p w14:paraId="15462850">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4" w:firstLineChars="200"/>
        <w:jc w:val="left"/>
        <w:textAlignment w:val="baseline"/>
        <w:rPr>
          <w:rFonts w:hint="eastAsia" w:ascii="宋体" w:hAnsi="宋体" w:eastAsia="宋体" w:cs="宋体"/>
          <w:b/>
          <w:bCs/>
          <w:spacing w:val="-2"/>
          <w:sz w:val="24"/>
          <w:szCs w:val="24"/>
        </w:rPr>
      </w:pPr>
      <w:r>
        <w:rPr>
          <w:rFonts w:hint="eastAsia" w:ascii="宋体" w:hAnsi="宋体" w:eastAsia="宋体" w:cs="宋体"/>
          <w:b/>
          <w:bCs/>
          <w:spacing w:val="-2"/>
          <w:sz w:val="24"/>
          <w:szCs w:val="24"/>
        </w:rPr>
        <w:t>1.8</w:t>
      </w:r>
      <w:r>
        <w:rPr>
          <w:rFonts w:hint="eastAsia" w:ascii="宋体" w:hAnsi="宋体" w:cs="宋体"/>
          <w:b/>
          <w:bCs/>
          <w:spacing w:val="-2"/>
          <w:sz w:val="24"/>
          <w:szCs w:val="24"/>
          <w:lang w:val="en-US" w:eastAsia="zh-CN"/>
        </w:rPr>
        <w:t xml:space="preserve"> </w:t>
      </w:r>
      <w:r>
        <w:rPr>
          <w:rFonts w:hint="eastAsia" w:ascii="宋体" w:hAnsi="宋体" w:eastAsia="宋体" w:cs="宋体"/>
          <w:b/>
          <w:bCs/>
          <w:spacing w:val="-2"/>
          <w:sz w:val="24"/>
          <w:szCs w:val="24"/>
        </w:rPr>
        <w:t>税率：</w:t>
      </w:r>
      <w:permStart w:id="17" w:edGrp="everyone"/>
      <w:r>
        <w:rPr>
          <w:rFonts w:hint="eastAsia" w:ascii="宋体" w:hAnsi="宋体" w:eastAsia="宋体" w:cs="宋体"/>
          <w:b/>
          <w:bCs/>
          <w:spacing w:val="-2"/>
          <w:sz w:val="24"/>
          <w:szCs w:val="24"/>
        </w:rPr>
        <w:t>3%</w:t>
      </w:r>
    </w:p>
    <w:permEnd w:id="17"/>
    <w:p w14:paraId="5404B141">
      <w:pPr>
        <w:pStyle w:val="6"/>
        <w:keepNext w:val="0"/>
        <w:keepLines w:val="0"/>
        <w:pageBreakBefore w:val="0"/>
        <w:widowControl/>
        <w:kinsoku w:val="0"/>
        <w:wordWrap/>
        <w:overflowPunct/>
        <w:topLinePunct w:val="0"/>
        <w:autoSpaceDE w:val="0"/>
        <w:autoSpaceDN w:val="0"/>
        <w:bidi w:val="0"/>
        <w:adjustRightInd w:val="0"/>
        <w:snapToGrid w:val="0"/>
        <w:spacing w:before="164" w:beforeLines="50" w:after="164" w:afterLines="50" w:line="360" w:lineRule="auto"/>
        <w:ind w:left="0" w:right="0" w:firstLine="0"/>
        <w:textAlignment w:val="baseline"/>
        <w:outlineLvl w:val="1"/>
        <w:rPr>
          <w:rFonts w:hint="eastAsia" w:ascii="宋体" w:hAnsi="宋体" w:eastAsia="宋体" w:cs="宋体"/>
          <w:b/>
          <w:bCs/>
          <w:spacing w:val="-11"/>
          <w:sz w:val="28"/>
          <w:szCs w:val="28"/>
        </w:rPr>
      </w:pPr>
      <w:r>
        <w:rPr>
          <w:rFonts w:hint="eastAsia" w:ascii="宋体" w:hAnsi="宋体" w:eastAsia="宋体" w:cs="宋体"/>
          <w:b/>
          <w:bCs/>
          <w:spacing w:val="-11"/>
          <w:sz w:val="28"/>
          <w:szCs w:val="28"/>
        </w:rPr>
        <w:t>2.工期要求</w:t>
      </w:r>
    </w:p>
    <w:p w14:paraId="20D243DD">
      <w:pPr>
        <w:pStyle w:val="6"/>
        <w:keepNext w:val="0"/>
        <w:keepLines w:val="0"/>
        <w:pageBreakBefore w:val="0"/>
        <w:widowControl w:val="0"/>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highlight w:val="none"/>
          <w:lang w:val="en-US" w:eastAsia="zh-CN"/>
        </w:rPr>
      </w:pPr>
      <w:permStart w:id="18" w:edGrp="everyone"/>
      <w:r>
        <w:rPr>
          <w:rFonts w:hint="eastAsia" w:ascii="宋体" w:hAnsi="宋体" w:eastAsia="宋体" w:cs="宋体"/>
          <w:spacing w:val="-2"/>
          <w:sz w:val="24"/>
          <w:szCs w:val="24"/>
          <w:highlight w:val="none"/>
          <w:lang w:val="en-US" w:eastAsia="zh-CN"/>
        </w:rPr>
        <w:t>工期要求：以满足现场工程施工进度为准，计划开工日期：2025年07月03日，计划交工日期：2025年07月31日，总工期：</w:t>
      </w:r>
      <w:r>
        <w:rPr>
          <w:rFonts w:hint="eastAsia" w:ascii="宋体" w:hAnsi="宋体" w:cs="宋体"/>
          <w:spacing w:val="-2"/>
          <w:sz w:val="24"/>
          <w:szCs w:val="24"/>
          <w:highlight w:val="none"/>
          <w:lang w:val="en-US" w:eastAsia="zh-CN"/>
        </w:rPr>
        <w:t>29</w:t>
      </w:r>
      <w:r>
        <w:rPr>
          <w:rFonts w:hint="eastAsia" w:ascii="宋体" w:hAnsi="宋体" w:eastAsia="宋体" w:cs="宋体"/>
          <w:spacing w:val="-2"/>
          <w:sz w:val="24"/>
          <w:szCs w:val="24"/>
          <w:highlight w:val="none"/>
          <w:lang w:val="en-US" w:eastAsia="zh-CN"/>
        </w:rPr>
        <w:t>天，具体施工日期以甲方通知为准。</w:t>
      </w:r>
      <w:permEnd w:id="18"/>
      <w:r>
        <w:rPr>
          <w:rFonts w:hint="eastAsia" w:ascii="宋体" w:hAnsi="宋体" w:eastAsia="宋体" w:cs="宋体"/>
          <w:spacing w:val="-2"/>
          <w:sz w:val="24"/>
          <w:szCs w:val="24"/>
          <w:highlight w:val="none"/>
          <w:lang w:val="en-US" w:eastAsia="zh-CN"/>
        </w:rPr>
        <w:t>。</w:t>
      </w:r>
    </w:p>
    <w:p w14:paraId="285E4300">
      <w:pPr>
        <w:pStyle w:val="6"/>
        <w:keepNext w:val="0"/>
        <w:keepLines w:val="0"/>
        <w:pageBreakBefore w:val="0"/>
        <w:widowControl/>
        <w:kinsoku w:val="0"/>
        <w:wordWrap/>
        <w:overflowPunct/>
        <w:topLinePunct w:val="0"/>
        <w:autoSpaceDE w:val="0"/>
        <w:autoSpaceDN w:val="0"/>
        <w:bidi w:val="0"/>
        <w:adjustRightInd w:val="0"/>
        <w:snapToGrid w:val="0"/>
        <w:spacing w:before="164" w:beforeLines="50" w:after="164" w:afterLines="50" w:line="360" w:lineRule="auto"/>
        <w:ind w:left="0" w:right="0" w:firstLine="0"/>
        <w:textAlignment w:val="baseline"/>
        <w:outlineLvl w:val="1"/>
        <w:rPr>
          <w:rFonts w:hint="eastAsia" w:ascii="宋体" w:hAnsi="宋体" w:eastAsia="宋体" w:cs="宋体"/>
          <w:b/>
          <w:bCs/>
          <w:spacing w:val="-11"/>
          <w:sz w:val="28"/>
          <w:szCs w:val="28"/>
          <w:lang w:val="en-US" w:eastAsia="zh-CN"/>
        </w:rPr>
      </w:pPr>
      <w:r>
        <w:rPr>
          <w:rFonts w:hint="eastAsia" w:ascii="宋体" w:hAnsi="宋体" w:eastAsia="宋体" w:cs="宋体"/>
          <w:b/>
          <w:bCs/>
          <w:spacing w:val="-11"/>
          <w:sz w:val="28"/>
          <w:szCs w:val="28"/>
          <w:lang w:val="en-US" w:eastAsia="zh-CN"/>
        </w:rPr>
        <w:t>3.工程质量等级要求</w:t>
      </w:r>
    </w:p>
    <w:p w14:paraId="2921F9EE">
      <w:pPr>
        <w:pStyle w:val="6"/>
        <w:keepNext w:val="0"/>
        <w:keepLines w:val="0"/>
        <w:pageBreakBefore w:val="0"/>
        <w:widowControl w:val="0"/>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3.1 符合国家现行《工程施工质量验收规范》合格标准，满足招标人与总包单位签订的相应条款执行外，还应满足招标人质量监检与施工管理的有关规定。</w:t>
      </w:r>
    </w:p>
    <w:p w14:paraId="1FF15DC2">
      <w:pPr>
        <w:pStyle w:val="6"/>
        <w:keepNext w:val="0"/>
        <w:keepLines w:val="0"/>
        <w:pageBreakBefore w:val="0"/>
        <w:widowControl w:val="0"/>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3.2 施工及验收规范和质量检验评定标准：按招标人签订的总包合同相应条款执行。若发现质量问题，中标人应根据招标人的要求限期返修至合格，并承担其费用，同时应负担由此给招标人造成的违约金与其他经济损失。</w:t>
      </w:r>
    </w:p>
    <w:p w14:paraId="588287AD">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3.3 若投标人施工质量不能达到招标人的要求，则招标人有权将工程的部分或全部交由其他施工队伍施工；若投标人达不到进度或质量要求时，无条件退场，发生的费用由投标人承担。</w:t>
      </w:r>
    </w:p>
    <w:p w14:paraId="17282180">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3.4 投标人须严格按照本工程施工图（含设计变更）、图纸会审纪要等技术资料和现行国家强制性标准、行业标准、有关施工规范、规程、质量检验评定标准、施工组织设计等文件组织施工，工程竣工验收按以上有关图纸、技术资料规范、标准进行验收。</w:t>
      </w:r>
    </w:p>
    <w:p w14:paraId="5F9749B4">
      <w:pPr>
        <w:pStyle w:val="6"/>
        <w:keepNext w:val="0"/>
        <w:keepLines w:val="0"/>
        <w:pageBreakBefore w:val="0"/>
        <w:widowControl/>
        <w:kinsoku w:val="0"/>
        <w:wordWrap/>
        <w:overflowPunct/>
        <w:topLinePunct w:val="0"/>
        <w:autoSpaceDE w:val="0"/>
        <w:autoSpaceDN w:val="0"/>
        <w:bidi w:val="0"/>
        <w:adjustRightInd w:val="0"/>
        <w:snapToGrid w:val="0"/>
        <w:spacing w:before="164" w:beforeLines="50" w:after="164" w:afterLines="50" w:line="360" w:lineRule="auto"/>
        <w:ind w:left="0" w:right="0" w:firstLine="0"/>
        <w:textAlignment w:val="baseline"/>
        <w:outlineLvl w:val="1"/>
        <w:rPr>
          <w:rFonts w:hint="eastAsia" w:ascii="宋体" w:hAnsi="宋体" w:eastAsia="宋体" w:cs="宋体"/>
          <w:b/>
          <w:bCs/>
          <w:spacing w:val="-11"/>
          <w:sz w:val="28"/>
          <w:szCs w:val="28"/>
          <w:lang w:val="en-US" w:eastAsia="zh-CN"/>
        </w:rPr>
      </w:pPr>
      <w:r>
        <w:rPr>
          <w:rFonts w:hint="eastAsia" w:ascii="宋体" w:hAnsi="宋体" w:eastAsia="宋体" w:cs="宋体"/>
          <w:b/>
          <w:bCs/>
          <w:spacing w:val="-11"/>
          <w:sz w:val="28"/>
          <w:szCs w:val="28"/>
          <w:lang w:val="en-US" w:eastAsia="zh-CN"/>
        </w:rPr>
        <w:t>4.环境与职业健康安全管理</w:t>
      </w:r>
    </w:p>
    <w:p w14:paraId="41168D60">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4.1 乙方应按甲方在环境与职业健康安全管理方面的要求，配合并落实其承包范围的重要环境因素和重大危险源的控制措施。</w:t>
      </w:r>
    </w:p>
    <w:p w14:paraId="23E9C67B">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4.2 乙方应指定专人负责环境与职业健康安全的管理，按管理体系的要求开展工作，并接受甲方的监督检查。</w:t>
      </w:r>
    </w:p>
    <w:p w14:paraId="259672A0">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4.3 执行甲方质量管理体系、环境管理体系和职业健康安全管理体系的要求。</w:t>
      </w:r>
    </w:p>
    <w:p w14:paraId="03932C1A">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4.4 乙方如不能执行4.1-4.2条款,由甲方代为执行,所发生的费用由乙方承担甲方按实从分包工程款中扣除。</w:t>
      </w:r>
    </w:p>
    <w:p w14:paraId="676DA734">
      <w:pPr>
        <w:rPr>
          <w:rFonts w:hint="eastAsia" w:ascii="宋体" w:hAnsi="宋体" w:eastAsia="宋体" w:cs="宋体"/>
          <w:b/>
          <w:bCs/>
          <w:spacing w:val="-11"/>
          <w:sz w:val="28"/>
          <w:szCs w:val="28"/>
          <w:lang w:val="en-US" w:eastAsia="zh-CN"/>
        </w:rPr>
      </w:pPr>
      <w:r>
        <w:rPr>
          <w:rFonts w:hint="eastAsia" w:ascii="宋体" w:hAnsi="宋体" w:eastAsia="宋体" w:cs="宋体"/>
          <w:b/>
          <w:bCs/>
          <w:spacing w:val="-11"/>
          <w:sz w:val="28"/>
          <w:szCs w:val="28"/>
          <w:lang w:val="en-US" w:eastAsia="zh-CN"/>
        </w:rPr>
        <w:br w:type="page"/>
      </w:r>
    </w:p>
    <w:p w14:paraId="2BB17C80">
      <w:pPr>
        <w:pStyle w:val="6"/>
        <w:keepNext w:val="0"/>
        <w:keepLines w:val="0"/>
        <w:pageBreakBefore w:val="0"/>
        <w:widowControl/>
        <w:kinsoku w:val="0"/>
        <w:wordWrap/>
        <w:overflowPunct/>
        <w:topLinePunct w:val="0"/>
        <w:autoSpaceDE w:val="0"/>
        <w:autoSpaceDN w:val="0"/>
        <w:bidi w:val="0"/>
        <w:adjustRightInd w:val="0"/>
        <w:snapToGrid w:val="0"/>
        <w:spacing w:before="164" w:beforeLines="50" w:after="164" w:afterLines="50" w:line="360" w:lineRule="auto"/>
        <w:ind w:left="0" w:right="0" w:firstLine="0"/>
        <w:textAlignment w:val="baseline"/>
        <w:outlineLvl w:val="1"/>
        <w:rPr>
          <w:rFonts w:hint="eastAsia" w:ascii="宋体" w:hAnsi="宋体" w:eastAsia="宋体" w:cs="宋体"/>
          <w:b/>
          <w:bCs/>
          <w:spacing w:val="-11"/>
          <w:sz w:val="28"/>
          <w:szCs w:val="28"/>
          <w:lang w:val="en-US" w:eastAsia="zh-CN"/>
        </w:rPr>
      </w:pPr>
      <w:r>
        <w:rPr>
          <w:rFonts w:hint="eastAsia" w:ascii="宋体" w:hAnsi="宋体" w:eastAsia="宋体" w:cs="宋体"/>
          <w:b/>
          <w:bCs/>
          <w:spacing w:val="-11"/>
          <w:sz w:val="28"/>
          <w:szCs w:val="28"/>
          <w:lang w:val="en-US" w:eastAsia="zh-CN"/>
        </w:rPr>
        <w:t>5.施工及验收规范、质量检验评定标准</w:t>
      </w:r>
    </w:p>
    <w:p w14:paraId="7E744C1B">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国家现行相关规范合格标准现行国家、浙江省、中石化相关的施工及验收规范、标准、施工图纸及说明书的有关规定（就高原则）。</w:t>
      </w:r>
    </w:p>
    <w:p w14:paraId="0357874A">
      <w:pPr>
        <w:pStyle w:val="6"/>
        <w:keepNext w:val="0"/>
        <w:keepLines w:val="0"/>
        <w:pageBreakBefore w:val="0"/>
        <w:widowControl/>
        <w:kinsoku w:val="0"/>
        <w:wordWrap/>
        <w:overflowPunct/>
        <w:topLinePunct w:val="0"/>
        <w:autoSpaceDE w:val="0"/>
        <w:autoSpaceDN w:val="0"/>
        <w:bidi w:val="0"/>
        <w:adjustRightInd w:val="0"/>
        <w:snapToGrid w:val="0"/>
        <w:spacing w:before="327" w:beforeLines="100" w:after="327" w:afterLines="100" w:line="240" w:lineRule="auto"/>
        <w:ind w:left="0" w:right="0" w:firstLine="0"/>
        <w:textAlignment w:val="baseline"/>
        <w:outlineLvl w:val="0"/>
        <w:rPr>
          <w:rFonts w:hint="eastAsia" w:ascii="宋体" w:hAnsi="宋体" w:eastAsia="宋体" w:cs="宋体"/>
          <w:b/>
          <w:bCs/>
          <w:spacing w:val="7"/>
          <w:sz w:val="32"/>
          <w:szCs w:val="32"/>
          <w:lang w:val="en-US" w:eastAsia="zh-CN"/>
        </w:rPr>
      </w:pPr>
      <w:r>
        <w:rPr>
          <w:rFonts w:hint="eastAsia" w:ascii="宋体" w:hAnsi="宋体" w:eastAsia="宋体" w:cs="宋体"/>
          <w:b/>
          <w:bCs/>
          <w:spacing w:val="7"/>
          <w:sz w:val="32"/>
          <w:szCs w:val="32"/>
          <w:lang w:val="en-US" w:eastAsia="zh-CN"/>
        </w:rPr>
        <w:t>三、投标须知</w:t>
      </w:r>
    </w:p>
    <w:p w14:paraId="45DC54BC">
      <w:pPr>
        <w:pStyle w:val="6"/>
        <w:keepNext w:val="0"/>
        <w:keepLines w:val="0"/>
        <w:pageBreakBefore w:val="0"/>
        <w:widowControl/>
        <w:kinsoku w:val="0"/>
        <w:wordWrap/>
        <w:overflowPunct/>
        <w:topLinePunct w:val="0"/>
        <w:autoSpaceDE w:val="0"/>
        <w:autoSpaceDN w:val="0"/>
        <w:bidi w:val="0"/>
        <w:adjustRightInd w:val="0"/>
        <w:snapToGrid w:val="0"/>
        <w:spacing w:before="164" w:beforeLines="50" w:after="164" w:afterLines="50" w:line="360" w:lineRule="auto"/>
        <w:ind w:left="0" w:right="0" w:firstLine="0"/>
        <w:textAlignment w:val="baseline"/>
        <w:outlineLvl w:val="1"/>
        <w:rPr>
          <w:rFonts w:hint="eastAsia" w:ascii="宋体" w:hAnsi="宋体" w:eastAsia="宋体" w:cs="宋体"/>
          <w:b/>
          <w:bCs/>
          <w:spacing w:val="-11"/>
          <w:sz w:val="28"/>
          <w:szCs w:val="28"/>
          <w:lang w:val="en-US" w:eastAsia="zh-CN"/>
        </w:rPr>
      </w:pPr>
      <w:r>
        <w:rPr>
          <w:rFonts w:hint="eastAsia" w:ascii="宋体" w:hAnsi="宋体" w:eastAsia="宋体" w:cs="宋体"/>
          <w:b/>
          <w:bCs/>
          <w:spacing w:val="-11"/>
          <w:sz w:val="28"/>
          <w:szCs w:val="28"/>
          <w:lang w:val="en-US" w:eastAsia="zh-CN"/>
        </w:rPr>
        <w:t>1.投标单位资格与条件</w:t>
      </w:r>
    </w:p>
    <w:p w14:paraId="73C645A2">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1.1 被邀请单位在送达投标文件时应附上以下资格证明材料：</w:t>
      </w:r>
    </w:p>
    <w:p w14:paraId="1C5A25FF">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（1）企业法人营业执照；</w:t>
      </w:r>
    </w:p>
    <w:p w14:paraId="632409D6">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（2）企业资质等级证书；</w:t>
      </w:r>
    </w:p>
    <w:p w14:paraId="6753650C">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（3）安全生产许可证；</w:t>
      </w:r>
    </w:p>
    <w:p w14:paraId="7EE656BB">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1.2 投标单位如获中标，不得把工程转包或分包给其他单位。</w:t>
      </w:r>
    </w:p>
    <w:p w14:paraId="1D328B14">
      <w:pPr>
        <w:pStyle w:val="6"/>
        <w:keepNext w:val="0"/>
        <w:keepLines w:val="0"/>
        <w:pageBreakBefore w:val="0"/>
        <w:widowControl w:val="0"/>
        <w:kinsoku w:val="0"/>
        <w:wordWrap/>
        <w:overflowPunct/>
        <w:topLinePunct w:val="0"/>
        <w:autoSpaceDE w:val="0"/>
        <w:autoSpaceDN w:val="0"/>
        <w:bidi w:val="0"/>
        <w:adjustRightInd w:val="0"/>
        <w:snapToGrid w:val="0"/>
        <w:spacing w:before="164" w:beforeLines="50" w:after="164" w:afterLines="50" w:line="360" w:lineRule="auto"/>
        <w:ind w:left="0" w:right="0" w:firstLine="0"/>
        <w:textAlignment w:val="baseline"/>
        <w:outlineLvl w:val="1"/>
        <w:rPr>
          <w:rFonts w:hint="eastAsia" w:ascii="宋体" w:hAnsi="宋体" w:eastAsia="宋体" w:cs="宋体"/>
          <w:b/>
          <w:bCs/>
          <w:spacing w:val="-11"/>
          <w:sz w:val="28"/>
          <w:szCs w:val="28"/>
          <w:lang w:val="en-US" w:eastAsia="zh-CN"/>
        </w:rPr>
      </w:pPr>
      <w:r>
        <w:rPr>
          <w:rFonts w:hint="eastAsia" w:ascii="宋体" w:hAnsi="宋体" w:eastAsia="宋体" w:cs="宋体"/>
          <w:b/>
          <w:bCs/>
          <w:spacing w:val="-11"/>
          <w:sz w:val="28"/>
          <w:szCs w:val="28"/>
          <w:lang w:val="en-US" w:eastAsia="zh-CN"/>
        </w:rPr>
        <w:t>2.招标文件</w:t>
      </w:r>
    </w:p>
    <w:p w14:paraId="24379FDC">
      <w:pPr>
        <w:pStyle w:val="6"/>
        <w:keepNext w:val="0"/>
        <w:keepLines w:val="0"/>
        <w:pageBreakBefore w:val="0"/>
        <w:widowControl w:val="0"/>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2.1 招标文件包括下列各项</w:t>
      </w:r>
    </w:p>
    <w:p w14:paraId="10D8EFE8">
      <w:pPr>
        <w:pStyle w:val="6"/>
        <w:keepNext w:val="0"/>
        <w:keepLines w:val="0"/>
        <w:pageBreakBefore w:val="0"/>
        <w:widowControl w:val="0"/>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（1）招选公告     </w:t>
      </w:r>
    </w:p>
    <w:p w14:paraId="6B935BE0">
      <w:pPr>
        <w:pStyle w:val="6"/>
        <w:keepNext w:val="0"/>
        <w:keepLines w:val="0"/>
        <w:pageBreakBefore w:val="0"/>
        <w:widowControl w:val="0"/>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（2）工程范围及技术规范</w:t>
      </w:r>
    </w:p>
    <w:p w14:paraId="397F8D1B">
      <w:pPr>
        <w:pStyle w:val="6"/>
        <w:keepNext w:val="0"/>
        <w:keepLines w:val="0"/>
        <w:pageBreakBefore w:val="0"/>
        <w:widowControl w:val="0"/>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（3）投标须知</w:t>
      </w:r>
    </w:p>
    <w:p w14:paraId="0E37D246">
      <w:pPr>
        <w:pStyle w:val="6"/>
        <w:keepNext w:val="0"/>
        <w:keepLines w:val="0"/>
        <w:pageBreakBefore w:val="0"/>
        <w:widowControl w:val="0"/>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（4）</w:t>
      </w:r>
      <w:r>
        <w:rPr>
          <w:rFonts w:hint="eastAsia" w:ascii="宋体" w:hAnsi="宋体" w:cs="宋体"/>
          <w:spacing w:val="-2"/>
          <w:sz w:val="24"/>
          <w:szCs w:val="24"/>
          <w:lang w:val="en-US" w:eastAsia="zh-CN"/>
        </w:rPr>
        <w:t>投标文件的内容与形式</w:t>
      </w:r>
    </w:p>
    <w:p w14:paraId="1B94DE0A">
      <w:pPr>
        <w:pStyle w:val="6"/>
        <w:keepNext w:val="0"/>
        <w:keepLines w:val="0"/>
        <w:pageBreakBefore w:val="0"/>
        <w:widowControl w:val="0"/>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w:t>
      </w:r>
      <w:r>
        <w:rPr>
          <w:rFonts w:hint="eastAsia" w:ascii="宋体" w:hAnsi="宋体" w:cs="宋体"/>
          <w:spacing w:val="-2"/>
          <w:sz w:val="24"/>
          <w:szCs w:val="24"/>
          <w:lang w:val="en-US" w:eastAsia="zh-CN"/>
        </w:rPr>
        <w:t>5</w:t>
      </w:r>
      <w:r>
        <w:rPr>
          <w:rFonts w:hint="eastAsia" w:ascii="宋体" w:hAnsi="宋体" w:eastAsia="宋体" w:cs="宋体"/>
          <w:spacing w:val="-2"/>
          <w:sz w:val="24"/>
          <w:szCs w:val="24"/>
          <w:lang w:val="en-US" w:eastAsia="zh-CN"/>
        </w:rPr>
        <w:t>）分包合同</w:t>
      </w:r>
      <w:r>
        <w:rPr>
          <w:rFonts w:hint="eastAsia" w:ascii="宋体" w:hAnsi="宋体" w:cs="宋体"/>
          <w:spacing w:val="-2"/>
          <w:sz w:val="24"/>
          <w:szCs w:val="24"/>
          <w:lang w:val="en-US" w:eastAsia="zh-CN"/>
        </w:rPr>
        <w:t>范</w:t>
      </w:r>
      <w:r>
        <w:rPr>
          <w:rFonts w:hint="eastAsia" w:ascii="宋体" w:hAnsi="宋体" w:eastAsia="宋体" w:cs="宋体"/>
          <w:spacing w:val="-2"/>
          <w:sz w:val="24"/>
          <w:szCs w:val="24"/>
          <w:lang w:val="en-US" w:eastAsia="zh-CN"/>
        </w:rPr>
        <w:t>本</w:t>
      </w:r>
    </w:p>
    <w:p w14:paraId="79FD59D0">
      <w:pPr>
        <w:pStyle w:val="6"/>
        <w:keepNext w:val="0"/>
        <w:keepLines w:val="0"/>
        <w:pageBreakBefore w:val="0"/>
        <w:widowControl w:val="0"/>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w:t>
      </w:r>
      <w:r>
        <w:rPr>
          <w:rFonts w:hint="eastAsia" w:ascii="宋体" w:hAnsi="宋体" w:cs="宋体"/>
          <w:spacing w:val="-2"/>
          <w:sz w:val="24"/>
          <w:szCs w:val="24"/>
          <w:lang w:val="en-US" w:eastAsia="zh-CN"/>
        </w:rPr>
        <w:t>6</w:t>
      </w:r>
      <w:r>
        <w:rPr>
          <w:rFonts w:hint="eastAsia" w:ascii="宋体" w:hAnsi="宋体" w:eastAsia="宋体" w:cs="宋体"/>
          <w:spacing w:val="-2"/>
          <w:sz w:val="24"/>
          <w:szCs w:val="24"/>
          <w:lang w:val="en-US" w:eastAsia="zh-CN"/>
        </w:rPr>
        <w:t>）施工图纸及技术要求（</w:t>
      </w:r>
      <w:r>
        <w:rPr>
          <w:rFonts w:hint="eastAsia" w:ascii="宋体" w:hAnsi="宋体" w:cs="宋体"/>
          <w:spacing w:val="-2"/>
          <w:sz w:val="24"/>
          <w:szCs w:val="24"/>
          <w:lang w:val="en-US" w:eastAsia="zh-CN"/>
        </w:rPr>
        <w:t>如有</w:t>
      </w:r>
      <w:r>
        <w:rPr>
          <w:rFonts w:hint="eastAsia" w:ascii="宋体" w:hAnsi="宋体" w:eastAsia="宋体" w:cs="宋体"/>
          <w:spacing w:val="-2"/>
          <w:sz w:val="24"/>
          <w:szCs w:val="24"/>
          <w:lang w:val="en-US" w:eastAsia="zh-CN"/>
        </w:rPr>
        <w:t>另册提供）</w:t>
      </w:r>
    </w:p>
    <w:p w14:paraId="15B3A151">
      <w:pPr>
        <w:pStyle w:val="6"/>
        <w:keepNext w:val="0"/>
        <w:keepLines w:val="0"/>
        <w:pageBreakBefore w:val="0"/>
        <w:widowControl w:val="0"/>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投标单位应认真阅读招标文件中所有内容，如果投标单位的投标文件不能满足招标文件的要求，有可能导致投标被拒绝。</w:t>
      </w:r>
    </w:p>
    <w:p w14:paraId="307CCFAC">
      <w:pPr>
        <w:pStyle w:val="6"/>
        <w:keepNext w:val="0"/>
        <w:keepLines w:val="0"/>
        <w:pageBreakBefore w:val="0"/>
        <w:widowControl w:val="0"/>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2.2 招标文件的澄清和补充修正。</w:t>
      </w:r>
    </w:p>
    <w:p w14:paraId="7FD7EFD8">
      <w:pPr>
        <w:pStyle w:val="6"/>
        <w:keepNext w:val="0"/>
        <w:keepLines w:val="0"/>
        <w:pageBreakBefore w:val="0"/>
        <w:widowControl w:val="0"/>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2.2.1</w:t>
      </w:r>
      <w:r>
        <w:rPr>
          <w:rFonts w:hint="eastAsia" w:ascii="宋体" w:hAnsi="宋体" w:cs="宋体"/>
          <w:spacing w:val="-2"/>
          <w:sz w:val="24"/>
          <w:szCs w:val="24"/>
          <w:highlight w:val="none"/>
          <w:lang w:val="en-US" w:eastAsia="zh-CN"/>
        </w:rPr>
        <w:t xml:space="preserve"> </w:t>
      </w:r>
      <w:r>
        <w:rPr>
          <w:rFonts w:hint="eastAsia" w:ascii="宋体" w:hAnsi="宋体" w:eastAsia="宋体" w:cs="宋体"/>
          <w:spacing w:val="-2"/>
          <w:sz w:val="24"/>
          <w:szCs w:val="24"/>
          <w:highlight w:val="none"/>
          <w:lang w:val="en-US" w:eastAsia="zh-CN"/>
        </w:rPr>
        <w:t>投标单位对招标文件如有疑问，可用邮件或书面形式向招标单位提出，但必须在</w:t>
      </w:r>
      <w:r>
        <w:rPr>
          <w:rFonts w:hint="eastAsia" w:ascii="宋体" w:hAnsi="宋体" w:cs="宋体"/>
          <w:spacing w:val="-2"/>
          <w:sz w:val="24"/>
          <w:szCs w:val="24"/>
          <w:highlight w:val="none"/>
          <w:lang w:val="en-US" w:eastAsia="zh-CN"/>
        </w:rPr>
        <w:t>投标截止时间前一天提出</w:t>
      </w:r>
      <w:r>
        <w:rPr>
          <w:rFonts w:hint="eastAsia" w:ascii="宋体" w:hAnsi="宋体" w:eastAsia="宋体" w:cs="宋体"/>
          <w:spacing w:val="-2"/>
          <w:sz w:val="24"/>
          <w:szCs w:val="24"/>
          <w:highlight w:val="none"/>
          <w:lang w:val="en-US" w:eastAsia="zh-CN"/>
        </w:rPr>
        <w:t>。</w:t>
      </w:r>
    </w:p>
    <w:p w14:paraId="6A933523">
      <w:pPr>
        <w:pStyle w:val="6"/>
        <w:keepNext w:val="0"/>
        <w:keepLines w:val="0"/>
        <w:pageBreakBefore w:val="0"/>
        <w:widowControl w:val="0"/>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2.2.2</w:t>
      </w:r>
      <w:r>
        <w:rPr>
          <w:rFonts w:hint="eastAsia" w:ascii="宋体" w:hAnsi="宋体" w:cs="宋体"/>
          <w:spacing w:val="-2"/>
          <w:sz w:val="24"/>
          <w:szCs w:val="24"/>
          <w:lang w:val="en-US" w:eastAsia="zh-CN"/>
        </w:rPr>
        <w:t xml:space="preserve"> </w:t>
      </w:r>
      <w:r>
        <w:rPr>
          <w:rFonts w:hint="eastAsia" w:ascii="宋体" w:hAnsi="宋体" w:eastAsia="宋体" w:cs="宋体"/>
          <w:spacing w:val="-2"/>
          <w:sz w:val="24"/>
          <w:szCs w:val="24"/>
          <w:lang w:val="en-US" w:eastAsia="zh-CN"/>
        </w:rPr>
        <w:t>招标人在答疑中所做出的澄清和解答，以书面或电子邮件答复为准。</w:t>
      </w:r>
    </w:p>
    <w:p w14:paraId="362F57D4">
      <w:pPr>
        <w:pStyle w:val="6"/>
        <w:keepNext w:val="0"/>
        <w:keepLines w:val="0"/>
        <w:pageBreakBefore w:val="0"/>
        <w:widowControl w:val="0"/>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2.2.3</w:t>
      </w:r>
      <w:r>
        <w:rPr>
          <w:rFonts w:hint="eastAsia" w:ascii="宋体" w:hAnsi="宋体" w:cs="宋体"/>
          <w:spacing w:val="-2"/>
          <w:sz w:val="24"/>
          <w:szCs w:val="24"/>
          <w:lang w:val="en-US" w:eastAsia="zh-CN"/>
        </w:rPr>
        <w:t xml:space="preserve"> </w:t>
      </w:r>
      <w:r>
        <w:rPr>
          <w:rFonts w:hint="eastAsia" w:ascii="宋体" w:hAnsi="宋体" w:eastAsia="宋体" w:cs="宋体"/>
          <w:spacing w:val="-2"/>
          <w:sz w:val="24"/>
          <w:szCs w:val="24"/>
          <w:lang w:val="en-US" w:eastAsia="zh-CN"/>
        </w:rPr>
        <w:t>招标人在招标期间发出的答疑纪要和其他补充修改函件，均为招标文件的组成部分。</w:t>
      </w:r>
    </w:p>
    <w:p w14:paraId="3785C0EE">
      <w:pPr>
        <w:pStyle w:val="6"/>
        <w:keepNext w:val="0"/>
        <w:keepLines w:val="0"/>
        <w:pageBreakBefore w:val="0"/>
        <w:widowControl w:val="0"/>
        <w:kinsoku w:val="0"/>
        <w:wordWrap/>
        <w:overflowPunct/>
        <w:topLinePunct w:val="0"/>
        <w:autoSpaceDE w:val="0"/>
        <w:autoSpaceDN w:val="0"/>
        <w:bidi w:val="0"/>
        <w:adjustRightInd w:val="0"/>
        <w:snapToGrid w:val="0"/>
        <w:spacing w:before="164" w:beforeLines="50" w:after="164" w:afterLines="50" w:line="360" w:lineRule="auto"/>
        <w:ind w:left="0" w:right="0" w:firstLine="0"/>
        <w:textAlignment w:val="baseline"/>
        <w:outlineLvl w:val="1"/>
        <w:rPr>
          <w:rFonts w:hint="eastAsia" w:ascii="宋体" w:hAnsi="宋体" w:eastAsia="宋体" w:cs="宋体"/>
          <w:b/>
          <w:bCs/>
          <w:spacing w:val="-11"/>
          <w:sz w:val="28"/>
          <w:szCs w:val="28"/>
          <w:lang w:val="en-US" w:eastAsia="zh-CN"/>
        </w:rPr>
      </w:pPr>
      <w:r>
        <w:rPr>
          <w:rFonts w:hint="eastAsia" w:ascii="宋体" w:hAnsi="宋体" w:eastAsia="宋体" w:cs="宋体"/>
          <w:b/>
          <w:bCs/>
          <w:spacing w:val="-11"/>
          <w:sz w:val="28"/>
          <w:szCs w:val="28"/>
          <w:lang w:val="en-US" w:eastAsia="zh-CN"/>
        </w:rPr>
        <w:t>3.投标文件</w:t>
      </w:r>
    </w:p>
    <w:p w14:paraId="10977D94">
      <w:pPr>
        <w:pStyle w:val="6"/>
        <w:keepNext w:val="0"/>
        <w:keepLines w:val="0"/>
        <w:pageBreakBefore w:val="0"/>
        <w:widowControl w:val="0"/>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3.1 投标文件的内容与形式</w:t>
      </w:r>
    </w:p>
    <w:p w14:paraId="008F7FC8">
      <w:pPr>
        <w:pStyle w:val="6"/>
        <w:keepNext w:val="0"/>
        <w:keepLines w:val="0"/>
        <w:pageBreakBefore w:val="0"/>
        <w:widowControl w:val="0"/>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3.1.1 投标书（加盖公章</w:t>
      </w:r>
      <w:r>
        <w:rPr>
          <w:rFonts w:hint="eastAsia" w:ascii="宋体" w:hAnsi="宋体" w:cs="宋体"/>
          <w:spacing w:val="-2"/>
          <w:sz w:val="24"/>
          <w:szCs w:val="24"/>
          <w:lang w:val="en-US" w:eastAsia="zh-CN"/>
        </w:rPr>
        <w:t>）</w:t>
      </w:r>
    </w:p>
    <w:p w14:paraId="319473D9">
      <w:pPr>
        <w:pStyle w:val="6"/>
        <w:keepNext w:val="0"/>
        <w:keepLines w:val="0"/>
        <w:pageBreakBefore w:val="0"/>
        <w:widowControl w:val="0"/>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3.1.2 资格证明材料（营业执照、资质等级、安全生产许可证等</w:t>
      </w:r>
      <w:r>
        <w:rPr>
          <w:rFonts w:hint="eastAsia" w:ascii="宋体" w:hAnsi="宋体" w:cs="宋体"/>
          <w:spacing w:val="-2"/>
          <w:sz w:val="24"/>
          <w:szCs w:val="24"/>
          <w:lang w:val="en-US" w:eastAsia="zh-CN"/>
        </w:rPr>
        <w:t>）</w:t>
      </w:r>
    </w:p>
    <w:p w14:paraId="0558A452">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3.2 投标价格</w:t>
      </w:r>
    </w:p>
    <w:p w14:paraId="5CF14F68">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4" w:firstLineChars="200"/>
        <w:jc w:val="left"/>
        <w:textAlignment w:val="baseline"/>
        <w:rPr>
          <w:rFonts w:hint="eastAsia" w:ascii="宋体" w:hAnsi="宋体" w:eastAsia="宋体" w:cs="宋体"/>
          <w:b/>
          <w:bCs/>
          <w:spacing w:val="-2"/>
          <w:sz w:val="24"/>
          <w:szCs w:val="24"/>
          <w:lang w:val="en-US" w:eastAsia="zh-CN"/>
        </w:rPr>
      </w:pPr>
      <w:r>
        <w:rPr>
          <w:rFonts w:hint="eastAsia" w:ascii="宋体" w:hAnsi="宋体" w:eastAsia="宋体" w:cs="宋体"/>
          <w:b/>
          <w:bCs/>
          <w:spacing w:val="-2"/>
          <w:sz w:val="24"/>
          <w:szCs w:val="24"/>
          <w:lang w:val="en-US" w:eastAsia="zh-CN"/>
        </w:rPr>
        <w:t>3.2.1 投标价格应是全面满足招标文件要求及工程范围和招标图纸中所述的所有工程的总造价（含税</w:t>
      </w:r>
      <w:r>
        <w:rPr>
          <w:rFonts w:hint="eastAsia" w:ascii="宋体" w:hAnsi="宋体" w:cs="宋体"/>
          <w:b/>
          <w:bCs/>
          <w:spacing w:val="-2"/>
          <w:sz w:val="24"/>
          <w:szCs w:val="24"/>
          <w:lang w:val="en-US" w:eastAsia="zh-CN"/>
        </w:rPr>
        <w:t>）</w:t>
      </w:r>
      <w:r>
        <w:rPr>
          <w:rFonts w:hint="eastAsia" w:ascii="宋体" w:hAnsi="宋体" w:eastAsia="宋体" w:cs="宋体"/>
          <w:b/>
          <w:bCs/>
          <w:spacing w:val="-2"/>
          <w:sz w:val="24"/>
          <w:szCs w:val="24"/>
          <w:lang w:val="en-US" w:eastAsia="zh-CN"/>
        </w:rPr>
        <w:t>。</w:t>
      </w:r>
    </w:p>
    <w:p w14:paraId="20246339">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3.2.2</w:t>
      </w:r>
      <w:r>
        <w:rPr>
          <w:rFonts w:hint="eastAsia" w:ascii="宋体" w:hAnsi="宋体" w:cs="宋体"/>
          <w:spacing w:val="-2"/>
          <w:sz w:val="24"/>
          <w:szCs w:val="24"/>
          <w:lang w:val="en-US" w:eastAsia="zh-CN"/>
        </w:rPr>
        <w:t xml:space="preserve"> </w:t>
      </w:r>
      <w:r>
        <w:rPr>
          <w:rFonts w:hint="eastAsia" w:ascii="宋体" w:hAnsi="宋体" w:eastAsia="宋体" w:cs="宋体"/>
          <w:spacing w:val="-2"/>
          <w:sz w:val="24"/>
          <w:szCs w:val="24"/>
          <w:lang w:val="en-US" w:eastAsia="zh-CN"/>
        </w:rPr>
        <w:t>投标报价编制依据：各投标单位必须根据自身的施工经验编制预算报价，并对可能影响工程承包价款的不利因素及困难条件进行评估，在编制投标书时充分考虑上述因素。</w:t>
      </w:r>
    </w:p>
    <w:p w14:paraId="08034D81">
      <w:pPr>
        <w:pStyle w:val="6"/>
        <w:keepNext w:val="0"/>
        <w:keepLines w:val="0"/>
        <w:pageBreakBefore w:val="0"/>
        <w:widowControl/>
        <w:kinsoku w:val="0"/>
        <w:wordWrap/>
        <w:overflowPunct/>
        <w:topLinePunct w:val="0"/>
        <w:autoSpaceDE w:val="0"/>
        <w:autoSpaceDN w:val="0"/>
        <w:bidi w:val="0"/>
        <w:adjustRightInd w:val="0"/>
        <w:snapToGrid w:val="0"/>
        <w:spacing w:before="164" w:beforeLines="50" w:after="164" w:afterLines="50" w:line="360" w:lineRule="auto"/>
        <w:ind w:left="0" w:right="0" w:firstLine="0"/>
        <w:textAlignment w:val="baseline"/>
        <w:outlineLvl w:val="1"/>
        <w:rPr>
          <w:rFonts w:hint="eastAsia" w:ascii="宋体" w:hAnsi="宋体" w:eastAsia="宋体" w:cs="宋体"/>
          <w:b/>
          <w:bCs/>
          <w:spacing w:val="-11"/>
          <w:sz w:val="28"/>
          <w:szCs w:val="28"/>
          <w:lang w:val="en-US" w:eastAsia="zh-CN"/>
        </w:rPr>
      </w:pPr>
      <w:r>
        <w:rPr>
          <w:rFonts w:hint="eastAsia" w:ascii="宋体" w:hAnsi="宋体" w:eastAsia="宋体" w:cs="宋体"/>
          <w:b/>
          <w:bCs/>
          <w:spacing w:val="-11"/>
          <w:sz w:val="28"/>
          <w:szCs w:val="28"/>
          <w:lang w:val="en-US" w:eastAsia="zh-CN"/>
        </w:rPr>
        <w:t>4.投标有效期：</w:t>
      </w:r>
    </w:p>
    <w:p w14:paraId="1E679FF1">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4.1</w:t>
      </w:r>
      <w:r>
        <w:rPr>
          <w:rFonts w:hint="eastAsia" w:ascii="宋体" w:hAnsi="宋体" w:cs="宋体"/>
          <w:spacing w:val="-2"/>
          <w:sz w:val="24"/>
          <w:szCs w:val="24"/>
          <w:lang w:val="en-US" w:eastAsia="zh-CN"/>
        </w:rPr>
        <w:t xml:space="preserve"> </w:t>
      </w:r>
      <w:r>
        <w:rPr>
          <w:rFonts w:hint="eastAsia" w:ascii="宋体" w:hAnsi="宋体" w:eastAsia="宋体" w:cs="宋体"/>
          <w:spacing w:val="-2"/>
          <w:sz w:val="24"/>
          <w:szCs w:val="24"/>
          <w:lang w:val="en-US" w:eastAsia="zh-CN"/>
        </w:rPr>
        <w:t>投标文件自投标截止时间起30天内有效。投标人提交的投标文件有效期不足30天的，招标人有权拒绝。</w:t>
      </w:r>
    </w:p>
    <w:p w14:paraId="2E2DF617">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4.2</w:t>
      </w:r>
      <w:r>
        <w:rPr>
          <w:rFonts w:hint="eastAsia" w:ascii="宋体" w:hAnsi="宋体" w:cs="宋体"/>
          <w:spacing w:val="-2"/>
          <w:sz w:val="24"/>
          <w:szCs w:val="24"/>
          <w:lang w:val="en-US" w:eastAsia="zh-CN"/>
        </w:rPr>
        <w:t xml:space="preserve"> </w:t>
      </w:r>
      <w:r>
        <w:rPr>
          <w:rFonts w:hint="eastAsia" w:ascii="宋体" w:hAnsi="宋体" w:eastAsia="宋体" w:cs="宋体"/>
          <w:spacing w:val="-2"/>
          <w:sz w:val="24"/>
          <w:szCs w:val="24"/>
          <w:lang w:val="en-US" w:eastAsia="zh-CN"/>
        </w:rPr>
        <w:t>在投标有效期内，投标单位不得单方改变投标文件的内容，包括报价、工期、质量和所承诺的义务等，否则将被视同不响应招标文件而被拒绝。</w:t>
      </w:r>
    </w:p>
    <w:p w14:paraId="4D705164">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4.3</w:t>
      </w:r>
      <w:r>
        <w:rPr>
          <w:rFonts w:hint="eastAsia" w:ascii="宋体" w:hAnsi="宋体" w:cs="宋体"/>
          <w:spacing w:val="-2"/>
          <w:sz w:val="24"/>
          <w:szCs w:val="24"/>
          <w:lang w:val="en-US" w:eastAsia="zh-CN"/>
        </w:rPr>
        <w:t xml:space="preserve"> </w:t>
      </w:r>
      <w:r>
        <w:rPr>
          <w:rFonts w:hint="eastAsia" w:ascii="宋体" w:hAnsi="宋体" w:eastAsia="宋体" w:cs="宋体"/>
          <w:spacing w:val="-2"/>
          <w:sz w:val="24"/>
          <w:szCs w:val="24"/>
          <w:lang w:val="en-US" w:eastAsia="zh-CN"/>
        </w:rPr>
        <w:t>在投标有效期内，投标单位有义务及时以邮件形式回答招标单位提出的问题，以利于评标的顺利进行。</w:t>
      </w:r>
    </w:p>
    <w:p w14:paraId="5F0A496E">
      <w:pPr>
        <w:pStyle w:val="6"/>
        <w:keepNext w:val="0"/>
        <w:keepLines w:val="0"/>
        <w:pageBreakBefore w:val="0"/>
        <w:widowControl/>
        <w:kinsoku w:val="0"/>
        <w:wordWrap/>
        <w:overflowPunct/>
        <w:topLinePunct w:val="0"/>
        <w:autoSpaceDE w:val="0"/>
        <w:autoSpaceDN w:val="0"/>
        <w:bidi w:val="0"/>
        <w:adjustRightInd w:val="0"/>
        <w:snapToGrid w:val="0"/>
        <w:spacing w:before="164" w:beforeLines="50" w:after="164" w:afterLines="50" w:line="360" w:lineRule="auto"/>
        <w:ind w:left="0" w:right="0" w:firstLine="0"/>
        <w:textAlignment w:val="baseline"/>
        <w:outlineLvl w:val="1"/>
        <w:rPr>
          <w:rFonts w:hint="eastAsia" w:ascii="宋体" w:hAnsi="宋体" w:eastAsia="宋体" w:cs="宋体"/>
          <w:b/>
          <w:bCs/>
          <w:spacing w:val="-11"/>
          <w:sz w:val="28"/>
          <w:szCs w:val="28"/>
          <w:lang w:val="en-US" w:eastAsia="zh-CN"/>
        </w:rPr>
      </w:pPr>
      <w:r>
        <w:rPr>
          <w:rFonts w:hint="eastAsia" w:ascii="宋体" w:hAnsi="宋体" w:eastAsia="宋体" w:cs="宋体"/>
          <w:b/>
          <w:bCs/>
          <w:spacing w:val="-11"/>
          <w:sz w:val="28"/>
          <w:szCs w:val="28"/>
          <w:lang w:val="en-US" w:eastAsia="zh-CN"/>
        </w:rPr>
        <w:t>5.投标文件的递交与开标。</w:t>
      </w:r>
    </w:p>
    <w:p w14:paraId="6EAEA871">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5.1</w:t>
      </w:r>
      <w:r>
        <w:rPr>
          <w:rFonts w:hint="eastAsia" w:ascii="宋体" w:hAnsi="宋体" w:cs="宋体"/>
          <w:spacing w:val="-2"/>
          <w:sz w:val="24"/>
          <w:szCs w:val="24"/>
          <w:lang w:val="en-US" w:eastAsia="zh-CN"/>
        </w:rPr>
        <w:t xml:space="preserve"> </w:t>
      </w:r>
      <w:r>
        <w:rPr>
          <w:rFonts w:hint="eastAsia" w:ascii="宋体" w:hAnsi="宋体" w:eastAsia="宋体" w:cs="宋体"/>
          <w:spacing w:val="-2"/>
          <w:sz w:val="24"/>
          <w:szCs w:val="24"/>
          <w:lang w:val="en-US" w:eastAsia="zh-CN"/>
        </w:rPr>
        <w:t>投标文件的份数：正本一份。</w:t>
      </w:r>
    </w:p>
    <w:p w14:paraId="18535794">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5.2</w:t>
      </w:r>
      <w:r>
        <w:rPr>
          <w:rFonts w:hint="eastAsia" w:ascii="宋体" w:hAnsi="宋体" w:cs="宋体"/>
          <w:spacing w:val="-2"/>
          <w:sz w:val="24"/>
          <w:szCs w:val="24"/>
          <w:highlight w:val="none"/>
          <w:lang w:val="en-US" w:eastAsia="zh-CN"/>
        </w:rPr>
        <w:t xml:space="preserve"> </w:t>
      </w:r>
      <w:r>
        <w:rPr>
          <w:rFonts w:hint="eastAsia" w:ascii="宋体" w:hAnsi="宋体" w:eastAsia="宋体" w:cs="宋体"/>
          <w:spacing w:val="-2"/>
          <w:sz w:val="24"/>
          <w:szCs w:val="24"/>
          <w:highlight w:val="none"/>
          <w:lang w:val="en-US" w:eastAsia="zh-CN"/>
        </w:rPr>
        <w:t>投标人应于</w:t>
      </w:r>
      <w:permStart w:id="19" w:edGrp="everyone"/>
      <w:r>
        <w:rPr>
          <w:rFonts w:hint="eastAsia" w:ascii="宋体" w:hAnsi="宋体" w:eastAsia="宋体" w:cs="宋体"/>
          <w:spacing w:val="-2"/>
          <w:sz w:val="24"/>
          <w:szCs w:val="24"/>
          <w:highlight w:val="none"/>
          <w:u w:val="single"/>
          <w:lang w:val="en-US" w:eastAsia="zh-CN"/>
        </w:rPr>
        <w:t xml:space="preserve"> </w:t>
      </w:r>
      <w:r>
        <w:rPr>
          <w:rFonts w:hint="eastAsia" w:ascii="宋体" w:hAnsi="宋体" w:cs="宋体"/>
          <w:spacing w:val="-2"/>
          <w:sz w:val="24"/>
          <w:szCs w:val="24"/>
          <w:highlight w:val="none"/>
          <w:u w:val="single"/>
          <w:lang w:val="en-US" w:eastAsia="zh-CN"/>
        </w:rPr>
        <w:t xml:space="preserve">2025 </w:t>
      </w:r>
      <w:r>
        <w:rPr>
          <w:rFonts w:hint="eastAsia" w:ascii="宋体" w:hAnsi="宋体" w:eastAsia="宋体" w:cs="宋体"/>
          <w:spacing w:val="-2"/>
          <w:sz w:val="24"/>
          <w:szCs w:val="24"/>
          <w:highlight w:val="none"/>
          <w:lang w:val="en-US" w:eastAsia="zh-CN"/>
        </w:rPr>
        <w:t>年</w:t>
      </w:r>
      <w:r>
        <w:rPr>
          <w:rFonts w:hint="eastAsia" w:ascii="宋体" w:hAnsi="宋体" w:cs="宋体"/>
          <w:spacing w:val="-2"/>
          <w:sz w:val="24"/>
          <w:szCs w:val="24"/>
          <w:highlight w:val="none"/>
          <w:u w:val="single"/>
          <w:lang w:val="en-US" w:eastAsia="zh-CN"/>
        </w:rPr>
        <w:t xml:space="preserve"> 6 </w:t>
      </w:r>
      <w:r>
        <w:rPr>
          <w:rFonts w:hint="eastAsia" w:ascii="宋体" w:hAnsi="宋体" w:eastAsia="宋体" w:cs="宋体"/>
          <w:spacing w:val="-2"/>
          <w:sz w:val="24"/>
          <w:szCs w:val="24"/>
          <w:highlight w:val="none"/>
          <w:lang w:val="en-US" w:eastAsia="zh-CN"/>
        </w:rPr>
        <w:t>月</w:t>
      </w:r>
      <w:r>
        <w:rPr>
          <w:rFonts w:hint="eastAsia" w:ascii="宋体" w:hAnsi="宋体" w:cs="宋体"/>
          <w:spacing w:val="-2"/>
          <w:sz w:val="24"/>
          <w:szCs w:val="24"/>
          <w:highlight w:val="none"/>
          <w:u w:val="single"/>
          <w:lang w:val="en-US" w:eastAsia="zh-CN"/>
        </w:rPr>
        <w:t xml:space="preserve"> 20 </w:t>
      </w:r>
      <w:r>
        <w:rPr>
          <w:rFonts w:hint="eastAsia" w:ascii="宋体" w:hAnsi="宋体" w:eastAsia="宋体" w:cs="宋体"/>
          <w:spacing w:val="-2"/>
          <w:sz w:val="24"/>
          <w:szCs w:val="24"/>
          <w:highlight w:val="none"/>
          <w:lang w:val="en-US" w:eastAsia="zh-CN"/>
        </w:rPr>
        <w:t>日</w:t>
      </w:r>
      <w:r>
        <w:rPr>
          <w:rFonts w:hint="eastAsia" w:ascii="宋体" w:hAnsi="宋体" w:cs="宋体"/>
          <w:spacing w:val="-2"/>
          <w:sz w:val="24"/>
          <w:szCs w:val="24"/>
          <w:highlight w:val="none"/>
          <w:u w:val="single"/>
          <w:lang w:val="en-US" w:eastAsia="zh-CN"/>
        </w:rPr>
        <w:t xml:space="preserve"> </w:t>
      </w:r>
      <w:r>
        <w:rPr>
          <w:rFonts w:hint="eastAsia" w:ascii="宋体" w:hAnsi="宋体" w:eastAsia="宋体" w:cs="宋体"/>
          <w:spacing w:val="-2"/>
          <w:sz w:val="24"/>
          <w:szCs w:val="24"/>
          <w:highlight w:val="none"/>
          <w:u w:val="single"/>
          <w:lang w:val="en-US" w:eastAsia="zh-CN"/>
        </w:rPr>
        <w:t>1</w:t>
      </w:r>
      <w:r>
        <w:rPr>
          <w:rFonts w:hint="eastAsia" w:ascii="宋体" w:hAnsi="宋体" w:cs="宋体"/>
          <w:spacing w:val="-2"/>
          <w:sz w:val="24"/>
          <w:szCs w:val="24"/>
          <w:highlight w:val="none"/>
          <w:u w:val="single"/>
          <w:lang w:val="en-US" w:eastAsia="zh-CN"/>
        </w:rPr>
        <w:t>0：</w:t>
      </w:r>
      <w:r>
        <w:rPr>
          <w:rFonts w:hint="eastAsia" w:ascii="宋体" w:hAnsi="宋体" w:eastAsia="宋体" w:cs="宋体"/>
          <w:spacing w:val="-2"/>
          <w:sz w:val="24"/>
          <w:szCs w:val="24"/>
          <w:highlight w:val="none"/>
          <w:u w:val="single"/>
          <w:lang w:val="en-US" w:eastAsia="zh-CN"/>
        </w:rPr>
        <w:t>00</w:t>
      </w:r>
      <w:r>
        <w:rPr>
          <w:rFonts w:hint="eastAsia" w:ascii="宋体" w:hAnsi="宋体" w:cs="宋体"/>
          <w:spacing w:val="-2"/>
          <w:sz w:val="24"/>
          <w:szCs w:val="24"/>
          <w:highlight w:val="none"/>
          <w:u w:val="single"/>
          <w:lang w:val="en-US" w:eastAsia="zh-CN"/>
        </w:rPr>
        <w:t xml:space="preserve"> </w:t>
      </w:r>
      <w:permEnd w:id="19"/>
      <w:r>
        <w:rPr>
          <w:rFonts w:hint="eastAsia" w:ascii="宋体" w:hAnsi="宋体" w:eastAsia="宋体" w:cs="宋体"/>
          <w:spacing w:val="-2"/>
          <w:sz w:val="24"/>
          <w:szCs w:val="24"/>
          <w:highlight w:val="none"/>
          <w:lang w:val="en-US" w:eastAsia="zh-CN"/>
        </w:rPr>
        <w:t>时前于福建安装闽安通平台</w:t>
      </w:r>
      <w:r>
        <w:rPr>
          <w:rFonts w:hint="eastAsia" w:ascii="宋体" w:hAnsi="宋体" w:cs="宋体"/>
          <w:spacing w:val="-2"/>
          <w:sz w:val="24"/>
          <w:szCs w:val="24"/>
          <w:highlight w:val="none"/>
          <w:lang w:val="en-US" w:eastAsia="zh-CN"/>
        </w:rPr>
        <w:t>（</w:t>
      </w:r>
      <w:r>
        <w:rPr>
          <w:rFonts w:hint="eastAsia" w:ascii="宋体" w:hAnsi="宋体" w:eastAsia="宋体" w:cs="宋体"/>
          <w:spacing w:val="-2"/>
          <w:sz w:val="24"/>
          <w:szCs w:val="24"/>
          <w:highlight w:val="none"/>
          <w:lang w:val="en-US" w:eastAsia="zh-CN"/>
        </w:rPr>
        <w:t>登录网址：https</w:t>
      </w:r>
      <w:r>
        <w:rPr>
          <w:rFonts w:hint="eastAsia" w:ascii="宋体" w:hAnsi="宋体" w:cs="宋体"/>
          <w:spacing w:val="-2"/>
          <w:sz w:val="24"/>
          <w:szCs w:val="24"/>
          <w:highlight w:val="none"/>
          <w:lang w:val="en-US" w:eastAsia="zh-CN"/>
        </w:rPr>
        <w:t>：</w:t>
      </w:r>
      <w:r>
        <w:rPr>
          <w:rFonts w:hint="eastAsia" w:ascii="宋体" w:hAnsi="宋体" w:eastAsia="宋体" w:cs="宋体"/>
          <w:spacing w:val="-2"/>
          <w:sz w:val="24"/>
          <w:szCs w:val="24"/>
          <w:highlight w:val="none"/>
          <w:lang w:val="en-US" w:eastAsia="zh-CN"/>
        </w:rPr>
        <w:t>//fjaz.azt365.com/</w:t>
      </w:r>
      <w:r>
        <w:rPr>
          <w:rFonts w:hint="eastAsia" w:ascii="宋体" w:hAnsi="宋体" w:cs="宋体"/>
          <w:spacing w:val="-2"/>
          <w:sz w:val="24"/>
          <w:szCs w:val="24"/>
          <w:highlight w:val="none"/>
          <w:lang w:val="en-US" w:eastAsia="zh-CN"/>
        </w:rPr>
        <w:t>）</w:t>
      </w:r>
      <w:r>
        <w:rPr>
          <w:rFonts w:hint="eastAsia" w:ascii="宋体" w:hAnsi="宋体" w:eastAsia="宋体" w:cs="宋体"/>
          <w:spacing w:val="-2"/>
          <w:sz w:val="24"/>
          <w:szCs w:val="24"/>
          <w:highlight w:val="none"/>
          <w:lang w:val="en-US" w:eastAsia="zh-CN"/>
        </w:rPr>
        <w:t>办理投标手续</w:t>
      </w:r>
      <w:r>
        <w:rPr>
          <w:rFonts w:hint="eastAsia" w:ascii="宋体" w:hAnsi="宋体" w:eastAsia="宋体" w:cs="宋体"/>
          <w:b/>
          <w:bCs/>
          <w:spacing w:val="-2"/>
          <w:sz w:val="24"/>
          <w:szCs w:val="24"/>
          <w:highlight w:val="none"/>
          <w:lang w:val="en-US" w:eastAsia="zh-CN"/>
        </w:rPr>
        <w:t>并按要求签字盖章上传扫描件</w:t>
      </w:r>
      <w:r>
        <w:rPr>
          <w:rFonts w:hint="eastAsia" w:ascii="宋体" w:hAnsi="宋体" w:eastAsia="宋体" w:cs="宋体"/>
          <w:spacing w:val="-2"/>
          <w:sz w:val="24"/>
          <w:szCs w:val="24"/>
          <w:highlight w:val="none"/>
          <w:lang w:val="en-US" w:eastAsia="zh-CN"/>
        </w:rPr>
        <w:t>。</w:t>
      </w:r>
    </w:p>
    <w:p w14:paraId="6E3C9CE6">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5.3</w:t>
      </w:r>
      <w:r>
        <w:rPr>
          <w:rFonts w:hint="eastAsia" w:ascii="宋体" w:hAnsi="宋体" w:cs="宋体"/>
          <w:spacing w:val="-2"/>
          <w:sz w:val="24"/>
          <w:szCs w:val="24"/>
          <w:highlight w:val="none"/>
          <w:lang w:val="en-US" w:eastAsia="zh-CN"/>
        </w:rPr>
        <w:t xml:space="preserve"> </w:t>
      </w:r>
      <w:r>
        <w:rPr>
          <w:rFonts w:hint="eastAsia" w:ascii="宋体" w:hAnsi="宋体" w:eastAsia="宋体" w:cs="宋体"/>
          <w:spacing w:val="-2"/>
          <w:sz w:val="24"/>
          <w:szCs w:val="24"/>
          <w:highlight w:val="none"/>
          <w:lang w:val="en-US" w:eastAsia="zh-CN"/>
        </w:rPr>
        <w:t>投标文件因字迹潦草或表达不清所引起的后果，概由投标单位负责。</w:t>
      </w:r>
    </w:p>
    <w:p w14:paraId="53385290">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5.4</w:t>
      </w:r>
      <w:r>
        <w:rPr>
          <w:rFonts w:hint="eastAsia" w:ascii="宋体" w:hAnsi="宋体" w:cs="宋体"/>
          <w:spacing w:val="-2"/>
          <w:sz w:val="24"/>
          <w:szCs w:val="24"/>
          <w:highlight w:val="none"/>
          <w:lang w:val="en-US" w:eastAsia="zh-CN"/>
        </w:rPr>
        <w:t xml:space="preserve"> </w:t>
      </w:r>
      <w:r>
        <w:rPr>
          <w:rFonts w:hint="eastAsia" w:ascii="宋体" w:hAnsi="宋体" w:eastAsia="宋体" w:cs="宋体"/>
          <w:spacing w:val="-2"/>
          <w:sz w:val="24"/>
          <w:szCs w:val="24"/>
          <w:highlight w:val="none"/>
          <w:lang w:val="en-US" w:eastAsia="zh-CN"/>
        </w:rPr>
        <w:t>投标单位递交了投标文件后，即认为本招标文件已全部被投标单位接受，并作为合同的组成部分。</w:t>
      </w:r>
    </w:p>
    <w:p w14:paraId="15A7DE55">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5.5</w:t>
      </w:r>
      <w:r>
        <w:rPr>
          <w:rFonts w:hint="eastAsia" w:ascii="宋体" w:hAnsi="宋体" w:cs="宋体"/>
          <w:spacing w:val="-2"/>
          <w:sz w:val="24"/>
          <w:szCs w:val="24"/>
          <w:highlight w:val="none"/>
          <w:lang w:val="en-US" w:eastAsia="zh-CN"/>
        </w:rPr>
        <w:t xml:space="preserve"> </w:t>
      </w:r>
      <w:r>
        <w:rPr>
          <w:rFonts w:hint="eastAsia" w:ascii="宋体" w:hAnsi="宋体" w:eastAsia="宋体" w:cs="宋体"/>
          <w:spacing w:val="-2"/>
          <w:sz w:val="24"/>
          <w:szCs w:val="24"/>
          <w:highlight w:val="none"/>
          <w:lang w:val="en-US" w:eastAsia="zh-CN"/>
        </w:rPr>
        <w:t>投标文件递交截止时间：</w:t>
      </w:r>
      <w:permStart w:id="20" w:edGrp="everyone"/>
      <w:r>
        <w:rPr>
          <w:rFonts w:hint="eastAsia" w:ascii="宋体" w:hAnsi="宋体" w:eastAsia="宋体" w:cs="宋体"/>
          <w:spacing w:val="-2"/>
          <w:sz w:val="24"/>
          <w:szCs w:val="24"/>
          <w:highlight w:val="none"/>
          <w:u w:val="single"/>
          <w:lang w:val="en-US" w:eastAsia="zh-CN"/>
        </w:rPr>
        <w:t xml:space="preserve"> 202</w:t>
      </w:r>
      <w:r>
        <w:rPr>
          <w:rFonts w:hint="eastAsia" w:ascii="宋体" w:hAnsi="宋体" w:cs="宋体"/>
          <w:spacing w:val="-2"/>
          <w:sz w:val="24"/>
          <w:szCs w:val="24"/>
          <w:highlight w:val="none"/>
          <w:u w:val="single"/>
          <w:lang w:val="en-US" w:eastAsia="zh-CN"/>
        </w:rPr>
        <w:t xml:space="preserve">5 </w:t>
      </w:r>
      <w:r>
        <w:rPr>
          <w:rFonts w:hint="eastAsia" w:ascii="宋体" w:hAnsi="宋体" w:eastAsia="宋体" w:cs="宋体"/>
          <w:spacing w:val="-2"/>
          <w:sz w:val="24"/>
          <w:szCs w:val="24"/>
          <w:highlight w:val="none"/>
          <w:lang w:val="en-US" w:eastAsia="zh-CN"/>
        </w:rPr>
        <w:t>年</w:t>
      </w:r>
      <w:r>
        <w:rPr>
          <w:rFonts w:hint="eastAsia" w:ascii="宋体" w:hAnsi="宋体" w:cs="宋体"/>
          <w:spacing w:val="-2"/>
          <w:sz w:val="24"/>
          <w:szCs w:val="24"/>
          <w:highlight w:val="none"/>
          <w:u w:val="single"/>
          <w:lang w:val="en-US" w:eastAsia="zh-CN"/>
        </w:rPr>
        <w:t xml:space="preserve"> 6 </w:t>
      </w:r>
      <w:r>
        <w:rPr>
          <w:rFonts w:hint="eastAsia" w:ascii="宋体" w:hAnsi="宋体" w:eastAsia="宋体" w:cs="宋体"/>
          <w:spacing w:val="-2"/>
          <w:sz w:val="24"/>
          <w:szCs w:val="24"/>
          <w:highlight w:val="none"/>
          <w:lang w:val="en-US" w:eastAsia="zh-CN"/>
        </w:rPr>
        <w:t>月</w:t>
      </w:r>
      <w:r>
        <w:rPr>
          <w:rFonts w:hint="eastAsia" w:ascii="宋体" w:hAnsi="宋体" w:cs="宋体"/>
          <w:spacing w:val="-2"/>
          <w:sz w:val="24"/>
          <w:szCs w:val="24"/>
          <w:highlight w:val="none"/>
          <w:u w:val="single"/>
          <w:lang w:val="en-US" w:eastAsia="zh-CN"/>
        </w:rPr>
        <w:t xml:space="preserve"> 20 </w:t>
      </w:r>
      <w:r>
        <w:rPr>
          <w:rFonts w:hint="eastAsia" w:ascii="宋体" w:hAnsi="宋体" w:eastAsia="宋体" w:cs="宋体"/>
          <w:spacing w:val="-2"/>
          <w:sz w:val="24"/>
          <w:szCs w:val="24"/>
          <w:highlight w:val="none"/>
          <w:lang w:val="en-US" w:eastAsia="zh-CN"/>
        </w:rPr>
        <w:t>日</w:t>
      </w:r>
      <w:r>
        <w:rPr>
          <w:rFonts w:hint="eastAsia" w:ascii="宋体" w:hAnsi="宋体" w:cs="宋体"/>
          <w:spacing w:val="-2"/>
          <w:sz w:val="24"/>
          <w:szCs w:val="24"/>
          <w:highlight w:val="none"/>
          <w:u w:val="single"/>
          <w:lang w:val="en-US" w:eastAsia="zh-CN"/>
        </w:rPr>
        <w:t xml:space="preserve"> </w:t>
      </w:r>
      <w:r>
        <w:rPr>
          <w:rFonts w:hint="eastAsia" w:ascii="宋体" w:hAnsi="宋体" w:eastAsia="宋体" w:cs="宋体"/>
          <w:spacing w:val="-2"/>
          <w:sz w:val="24"/>
          <w:szCs w:val="24"/>
          <w:highlight w:val="none"/>
          <w:u w:val="single"/>
          <w:lang w:val="en-US" w:eastAsia="zh-CN"/>
        </w:rPr>
        <w:t>1</w:t>
      </w:r>
      <w:r>
        <w:rPr>
          <w:rFonts w:hint="eastAsia" w:ascii="宋体" w:hAnsi="宋体" w:cs="宋体"/>
          <w:spacing w:val="-2"/>
          <w:sz w:val="24"/>
          <w:szCs w:val="24"/>
          <w:highlight w:val="none"/>
          <w:u w:val="single"/>
          <w:lang w:val="en-US" w:eastAsia="zh-CN"/>
        </w:rPr>
        <w:t>0：</w:t>
      </w:r>
      <w:r>
        <w:rPr>
          <w:rFonts w:hint="eastAsia" w:ascii="宋体" w:hAnsi="宋体" w:eastAsia="宋体" w:cs="宋体"/>
          <w:spacing w:val="-2"/>
          <w:sz w:val="24"/>
          <w:szCs w:val="24"/>
          <w:highlight w:val="none"/>
          <w:u w:val="single"/>
          <w:lang w:val="en-US" w:eastAsia="zh-CN"/>
        </w:rPr>
        <w:t xml:space="preserve">00 </w:t>
      </w:r>
      <w:r>
        <w:rPr>
          <w:rFonts w:hint="eastAsia" w:ascii="宋体" w:hAnsi="宋体" w:eastAsia="宋体" w:cs="宋体"/>
          <w:spacing w:val="-2"/>
          <w:sz w:val="24"/>
          <w:szCs w:val="24"/>
          <w:highlight w:val="none"/>
          <w:lang w:val="en-US" w:eastAsia="zh-CN"/>
        </w:rPr>
        <w:t>时</w:t>
      </w:r>
      <w:permEnd w:id="20"/>
      <w:r>
        <w:rPr>
          <w:rFonts w:hint="eastAsia" w:ascii="宋体" w:hAnsi="宋体" w:eastAsia="宋体" w:cs="宋体"/>
          <w:spacing w:val="-2"/>
          <w:sz w:val="24"/>
          <w:szCs w:val="24"/>
          <w:highlight w:val="none"/>
          <w:lang w:val="en-US" w:eastAsia="zh-CN"/>
        </w:rPr>
        <w:t>，逾期递交，恕不接受。</w:t>
      </w:r>
    </w:p>
    <w:p w14:paraId="2B801034">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5.6</w:t>
      </w:r>
      <w:r>
        <w:rPr>
          <w:rFonts w:hint="eastAsia" w:ascii="宋体" w:hAnsi="宋体" w:cs="宋体"/>
          <w:spacing w:val="-2"/>
          <w:sz w:val="24"/>
          <w:szCs w:val="24"/>
          <w:highlight w:val="none"/>
          <w:lang w:val="en-US" w:eastAsia="zh-CN"/>
        </w:rPr>
        <w:t xml:space="preserve"> </w:t>
      </w:r>
      <w:r>
        <w:rPr>
          <w:rFonts w:hint="eastAsia" w:ascii="宋体" w:hAnsi="宋体" w:eastAsia="宋体" w:cs="宋体"/>
          <w:spacing w:val="-2"/>
          <w:sz w:val="24"/>
          <w:szCs w:val="24"/>
          <w:highlight w:val="none"/>
          <w:lang w:val="en-US" w:eastAsia="zh-CN"/>
        </w:rPr>
        <w:t>本项目采用不见面开标，投标人无须现场参加开标。开标后，各投标单位等候招标单位的通知。</w:t>
      </w:r>
    </w:p>
    <w:p w14:paraId="17F16789">
      <w:pPr>
        <w:pStyle w:val="6"/>
        <w:keepNext w:val="0"/>
        <w:keepLines w:val="0"/>
        <w:pageBreakBefore w:val="0"/>
        <w:widowControl/>
        <w:kinsoku w:val="0"/>
        <w:wordWrap/>
        <w:overflowPunct/>
        <w:topLinePunct w:val="0"/>
        <w:autoSpaceDE w:val="0"/>
        <w:autoSpaceDN w:val="0"/>
        <w:bidi w:val="0"/>
        <w:adjustRightInd w:val="0"/>
        <w:snapToGrid w:val="0"/>
        <w:spacing w:before="164" w:beforeLines="50" w:after="164" w:afterLines="50" w:line="360" w:lineRule="auto"/>
        <w:ind w:left="0" w:right="0" w:firstLine="0"/>
        <w:textAlignment w:val="baseline"/>
        <w:outlineLvl w:val="1"/>
        <w:rPr>
          <w:rFonts w:hint="eastAsia" w:ascii="宋体" w:hAnsi="宋体" w:eastAsia="宋体" w:cs="宋体"/>
          <w:b/>
          <w:bCs/>
          <w:spacing w:val="-11"/>
          <w:sz w:val="28"/>
          <w:szCs w:val="28"/>
          <w:lang w:val="en-US" w:eastAsia="zh-CN"/>
        </w:rPr>
      </w:pPr>
      <w:r>
        <w:rPr>
          <w:rFonts w:hint="eastAsia" w:ascii="宋体" w:hAnsi="宋体" w:eastAsia="宋体" w:cs="宋体"/>
          <w:b/>
          <w:bCs/>
          <w:spacing w:val="-11"/>
          <w:sz w:val="28"/>
          <w:szCs w:val="28"/>
          <w:lang w:val="en-US" w:eastAsia="zh-CN"/>
        </w:rPr>
        <w:t>6.评标与定标</w:t>
      </w:r>
    </w:p>
    <w:p w14:paraId="28FAA135">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6.1</w:t>
      </w:r>
      <w:r>
        <w:rPr>
          <w:rFonts w:hint="eastAsia" w:ascii="宋体" w:hAnsi="宋体" w:cs="宋体"/>
          <w:spacing w:val="-2"/>
          <w:sz w:val="24"/>
          <w:szCs w:val="24"/>
          <w:lang w:val="en-US" w:eastAsia="zh-CN"/>
        </w:rPr>
        <w:t xml:space="preserve"> </w:t>
      </w:r>
      <w:r>
        <w:rPr>
          <w:rFonts w:hint="eastAsia" w:ascii="宋体" w:hAnsi="宋体" w:eastAsia="宋体" w:cs="宋体"/>
          <w:spacing w:val="-2"/>
          <w:sz w:val="24"/>
          <w:szCs w:val="24"/>
          <w:lang w:val="en-US" w:eastAsia="zh-CN"/>
        </w:rPr>
        <w:t>评标</w:t>
      </w:r>
    </w:p>
    <w:p w14:paraId="748C0C33">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6.1.1</w:t>
      </w:r>
      <w:r>
        <w:rPr>
          <w:rFonts w:hint="eastAsia" w:ascii="宋体" w:hAnsi="宋体" w:cs="宋体"/>
          <w:spacing w:val="-2"/>
          <w:sz w:val="24"/>
          <w:szCs w:val="24"/>
          <w:lang w:val="en-US" w:eastAsia="zh-CN"/>
        </w:rPr>
        <w:t xml:space="preserve"> </w:t>
      </w:r>
      <w:r>
        <w:rPr>
          <w:rFonts w:hint="eastAsia" w:ascii="宋体" w:hAnsi="宋体" w:eastAsia="宋体" w:cs="宋体"/>
          <w:spacing w:val="-2"/>
          <w:sz w:val="24"/>
          <w:szCs w:val="24"/>
          <w:lang w:val="en-US" w:eastAsia="zh-CN"/>
        </w:rPr>
        <w:t>评标前，由招标单位组织评标小组对投标单位是否具备资格，投标文件是否完整、计算是否有误，是否全面响应招标文件等进行初步审查。</w:t>
      </w:r>
    </w:p>
    <w:p w14:paraId="15DA64D8">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6.1.2</w:t>
      </w:r>
      <w:r>
        <w:rPr>
          <w:rFonts w:hint="eastAsia" w:ascii="宋体" w:hAnsi="宋体" w:cs="宋体"/>
          <w:spacing w:val="-2"/>
          <w:sz w:val="24"/>
          <w:szCs w:val="24"/>
          <w:lang w:val="en-US" w:eastAsia="zh-CN"/>
        </w:rPr>
        <w:t xml:space="preserve"> </w:t>
      </w:r>
      <w:r>
        <w:rPr>
          <w:rFonts w:hint="eastAsia" w:ascii="宋体" w:hAnsi="宋体" w:eastAsia="宋体" w:cs="宋体"/>
          <w:spacing w:val="-2"/>
          <w:sz w:val="24"/>
          <w:szCs w:val="24"/>
          <w:lang w:val="en-US" w:eastAsia="zh-CN"/>
        </w:rPr>
        <w:t>初审不合格的投标文件，将不参与评标。</w:t>
      </w:r>
    </w:p>
    <w:p w14:paraId="2F29EF1F">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6.1.3</w:t>
      </w:r>
      <w:r>
        <w:rPr>
          <w:rFonts w:hint="eastAsia" w:ascii="宋体" w:hAnsi="宋体" w:cs="宋体"/>
          <w:spacing w:val="-2"/>
          <w:sz w:val="24"/>
          <w:szCs w:val="24"/>
          <w:lang w:val="en-US" w:eastAsia="zh-CN"/>
        </w:rPr>
        <w:t xml:space="preserve"> </w:t>
      </w:r>
      <w:r>
        <w:rPr>
          <w:rFonts w:hint="eastAsia" w:ascii="宋体" w:hAnsi="宋体" w:eastAsia="宋体" w:cs="宋体"/>
          <w:spacing w:val="-2"/>
          <w:sz w:val="24"/>
          <w:szCs w:val="24"/>
          <w:lang w:val="en-US" w:eastAsia="zh-CN"/>
        </w:rPr>
        <w:t>对于初审合格的投标文件，由招标单位评标小组根据以下几方面的内容（不限于此</w:t>
      </w:r>
      <w:r>
        <w:rPr>
          <w:rFonts w:hint="eastAsia" w:ascii="宋体" w:hAnsi="宋体" w:cs="宋体"/>
          <w:spacing w:val="-2"/>
          <w:sz w:val="24"/>
          <w:szCs w:val="24"/>
          <w:lang w:val="en-US" w:eastAsia="zh-CN"/>
        </w:rPr>
        <w:t>）</w:t>
      </w:r>
      <w:r>
        <w:rPr>
          <w:rFonts w:hint="eastAsia" w:ascii="宋体" w:hAnsi="宋体" w:eastAsia="宋体" w:cs="宋体"/>
          <w:spacing w:val="-2"/>
          <w:sz w:val="24"/>
          <w:szCs w:val="24"/>
          <w:lang w:val="en-US" w:eastAsia="zh-CN"/>
        </w:rPr>
        <w:t>对投标单位进行综合评价。</w:t>
      </w:r>
    </w:p>
    <w:p w14:paraId="36A94F79">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w:t>
      </w:r>
      <w:r>
        <w:rPr>
          <w:rFonts w:hint="eastAsia" w:ascii="宋体" w:hAnsi="宋体" w:cs="宋体"/>
          <w:spacing w:val="-2"/>
          <w:sz w:val="24"/>
          <w:szCs w:val="24"/>
          <w:lang w:val="en-US" w:eastAsia="zh-CN"/>
        </w:rPr>
        <w:t>）</w:t>
      </w:r>
      <w:r>
        <w:rPr>
          <w:rFonts w:hint="eastAsia" w:ascii="宋体" w:hAnsi="宋体" w:eastAsia="宋体" w:cs="宋体"/>
          <w:spacing w:val="-2"/>
          <w:sz w:val="24"/>
          <w:szCs w:val="24"/>
          <w:lang w:val="en-US" w:eastAsia="zh-CN"/>
        </w:rPr>
        <w:t>投标报价</w:t>
      </w:r>
    </w:p>
    <w:p w14:paraId="07258C69">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w:t>
      </w:r>
      <w:r>
        <w:rPr>
          <w:rFonts w:hint="eastAsia" w:ascii="宋体" w:hAnsi="宋体" w:cs="宋体"/>
          <w:spacing w:val="-2"/>
          <w:sz w:val="24"/>
          <w:szCs w:val="24"/>
          <w:lang w:val="en-US" w:eastAsia="zh-CN"/>
        </w:rPr>
        <w:t>）</w:t>
      </w:r>
      <w:r>
        <w:rPr>
          <w:rFonts w:hint="eastAsia" w:ascii="宋体" w:hAnsi="宋体" w:eastAsia="宋体" w:cs="宋体"/>
          <w:spacing w:val="-2"/>
          <w:sz w:val="24"/>
          <w:szCs w:val="24"/>
          <w:lang w:val="en-US" w:eastAsia="zh-CN"/>
        </w:rPr>
        <w:t>质量</w:t>
      </w:r>
    </w:p>
    <w:p w14:paraId="612B35DE">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（3</w:t>
      </w:r>
      <w:r>
        <w:rPr>
          <w:rFonts w:hint="eastAsia" w:ascii="宋体" w:hAnsi="宋体" w:cs="宋体"/>
          <w:spacing w:val="-2"/>
          <w:sz w:val="24"/>
          <w:szCs w:val="24"/>
          <w:lang w:val="en-US" w:eastAsia="zh-CN"/>
        </w:rPr>
        <w:t>）</w:t>
      </w:r>
      <w:r>
        <w:rPr>
          <w:rFonts w:hint="eastAsia" w:ascii="宋体" w:hAnsi="宋体" w:eastAsia="宋体" w:cs="宋体"/>
          <w:spacing w:val="-2"/>
          <w:sz w:val="24"/>
          <w:szCs w:val="24"/>
          <w:lang w:val="en-US" w:eastAsia="zh-CN"/>
        </w:rPr>
        <w:t>工期</w:t>
      </w:r>
    </w:p>
    <w:p w14:paraId="6E36D2D9">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6.1.4</w:t>
      </w:r>
      <w:r>
        <w:rPr>
          <w:rFonts w:hint="eastAsia" w:ascii="宋体" w:hAnsi="宋体" w:cs="宋体"/>
          <w:spacing w:val="-2"/>
          <w:sz w:val="24"/>
          <w:szCs w:val="24"/>
          <w:lang w:val="en-US" w:eastAsia="zh-CN"/>
        </w:rPr>
        <w:t xml:space="preserve"> </w:t>
      </w:r>
      <w:r>
        <w:rPr>
          <w:rFonts w:hint="eastAsia" w:ascii="宋体" w:hAnsi="宋体" w:eastAsia="宋体" w:cs="宋体"/>
          <w:spacing w:val="-2"/>
          <w:sz w:val="24"/>
          <w:szCs w:val="24"/>
          <w:lang w:val="en-US" w:eastAsia="zh-CN"/>
        </w:rPr>
        <w:t>评标期间，招标单位可以分别与任何一家投标单位进行议标。</w:t>
      </w:r>
    </w:p>
    <w:p w14:paraId="29296BA5">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6.2</w:t>
      </w:r>
      <w:r>
        <w:rPr>
          <w:rFonts w:hint="eastAsia" w:ascii="宋体" w:hAnsi="宋体" w:cs="宋体"/>
          <w:spacing w:val="-2"/>
          <w:sz w:val="24"/>
          <w:szCs w:val="24"/>
          <w:lang w:val="en-US" w:eastAsia="zh-CN"/>
        </w:rPr>
        <w:t xml:space="preserve"> </w:t>
      </w:r>
      <w:r>
        <w:rPr>
          <w:rFonts w:hint="eastAsia" w:ascii="宋体" w:hAnsi="宋体" w:eastAsia="宋体" w:cs="宋体"/>
          <w:spacing w:val="-2"/>
          <w:sz w:val="24"/>
          <w:szCs w:val="24"/>
          <w:lang w:val="en-US" w:eastAsia="zh-CN"/>
        </w:rPr>
        <w:t>评标细则：</w:t>
      </w:r>
    </w:p>
    <w:p w14:paraId="28DF2427">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6.2.1</w:t>
      </w:r>
      <w:r>
        <w:rPr>
          <w:rFonts w:hint="eastAsia" w:ascii="宋体" w:hAnsi="宋体" w:cs="宋体"/>
          <w:spacing w:val="-2"/>
          <w:sz w:val="24"/>
          <w:szCs w:val="24"/>
          <w:lang w:val="en-US" w:eastAsia="zh-CN"/>
        </w:rPr>
        <w:t xml:space="preserve"> </w:t>
      </w:r>
      <w:r>
        <w:rPr>
          <w:rFonts w:hint="eastAsia" w:ascii="宋体" w:hAnsi="宋体" w:eastAsia="宋体" w:cs="宋体"/>
          <w:spacing w:val="-2"/>
          <w:sz w:val="24"/>
          <w:szCs w:val="24"/>
          <w:lang w:val="en-US" w:eastAsia="zh-CN"/>
        </w:rPr>
        <w:t>经评审最低价中标法</w:t>
      </w:r>
    </w:p>
    <w:p w14:paraId="59B6EFEE">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6.2.2</w:t>
      </w:r>
      <w:r>
        <w:rPr>
          <w:rFonts w:hint="eastAsia" w:ascii="宋体" w:hAnsi="宋体" w:cs="宋体"/>
          <w:spacing w:val="-2"/>
          <w:sz w:val="24"/>
          <w:szCs w:val="24"/>
          <w:lang w:val="en-US" w:eastAsia="zh-CN"/>
        </w:rPr>
        <w:t xml:space="preserve"> </w:t>
      </w:r>
      <w:r>
        <w:rPr>
          <w:rFonts w:hint="eastAsia" w:ascii="宋体" w:hAnsi="宋体" w:eastAsia="宋体" w:cs="宋体"/>
          <w:spacing w:val="-2"/>
          <w:sz w:val="24"/>
          <w:szCs w:val="24"/>
          <w:lang w:val="en-US" w:eastAsia="zh-CN"/>
        </w:rPr>
        <w:t>第一轮最高价直接淘汰</w:t>
      </w:r>
    </w:p>
    <w:p w14:paraId="181DFFA3">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6.2.3</w:t>
      </w:r>
      <w:r>
        <w:rPr>
          <w:rFonts w:hint="eastAsia" w:ascii="宋体" w:hAnsi="宋体" w:cs="宋体"/>
          <w:spacing w:val="-2"/>
          <w:sz w:val="24"/>
          <w:szCs w:val="24"/>
          <w:lang w:val="en-US" w:eastAsia="zh-CN"/>
        </w:rPr>
        <w:t xml:space="preserve"> </w:t>
      </w:r>
      <w:r>
        <w:rPr>
          <w:rFonts w:hint="eastAsia" w:ascii="宋体" w:hAnsi="宋体" w:eastAsia="宋体" w:cs="宋体"/>
          <w:spacing w:val="-2"/>
          <w:sz w:val="24"/>
          <w:szCs w:val="24"/>
          <w:lang w:val="en-US" w:eastAsia="zh-CN"/>
        </w:rPr>
        <w:t>第二轮议价，议价后评标小组按评审后的最低价确定中标候选人顺序名单，报招标小组确定中标人。</w:t>
      </w:r>
    </w:p>
    <w:p w14:paraId="0F8DE393">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6.3</w:t>
      </w:r>
      <w:r>
        <w:rPr>
          <w:rFonts w:hint="eastAsia" w:ascii="宋体" w:hAnsi="宋体" w:cs="宋体"/>
          <w:spacing w:val="-2"/>
          <w:sz w:val="24"/>
          <w:szCs w:val="24"/>
          <w:lang w:val="en-US" w:eastAsia="zh-CN"/>
        </w:rPr>
        <w:t xml:space="preserve"> </w:t>
      </w:r>
      <w:r>
        <w:rPr>
          <w:rFonts w:hint="eastAsia" w:ascii="宋体" w:hAnsi="宋体" w:eastAsia="宋体" w:cs="宋体"/>
          <w:spacing w:val="-2"/>
          <w:sz w:val="24"/>
          <w:szCs w:val="24"/>
          <w:lang w:val="en-US" w:eastAsia="zh-CN"/>
        </w:rPr>
        <w:t>定标</w:t>
      </w:r>
    </w:p>
    <w:p w14:paraId="29B76CDD">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6.3.1</w:t>
      </w:r>
      <w:r>
        <w:rPr>
          <w:rFonts w:hint="eastAsia" w:ascii="宋体" w:hAnsi="宋体" w:cs="宋体"/>
          <w:spacing w:val="-2"/>
          <w:sz w:val="24"/>
          <w:szCs w:val="24"/>
          <w:lang w:val="en-US" w:eastAsia="zh-CN"/>
        </w:rPr>
        <w:t xml:space="preserve"> </w:t>
      </w:r>
      <w:r>
        <w:rPr>
          <w:rFonts w:hint="eastAsia" w:ascii="宋体" w:hAnsi="宋体" w:eastAsia="宋体" w:cs="宋体"/>
          <w:spacing w:val="-2"/>
          <w:sz w:val="24"/>
          <w:szCs w:val="24"/>
          <w:lang w:val="en-US" w:eastAsia="zh-CN"/>
        </w:rPr>
        <w:t>招标单位将授标给在资质、能力、方案、价格等方面能满足工程（劳务</w:t>
      </w:r>
      <w:r>
        <w:rPr>
          <w:rFonts w:hint="eastAsia" w:ascii="宋体" w:hAnsi="宋体" w:cs="宋体"/>
          <w:spacing w:val="-2"/>
          <w:sz w:val="24"/>
          <w:szCs w:val="24"/>
          <w:lang w:val="en-US" w:eastAsia="zh-CN"/>
        </w:rPr>
        <w:t>）</w:t>
      </w:r>
      <w:r>
        <w:rPr>
          <w:rFonts w:hint="eastAsia" w:ascii="宋体" w:hAnsi="宋体" w:eastAsia="宋体" w:cs="宋体"/>
          <w:spacing w:val="-2"/>
          <w:sz w:val="24"/>
          <w:szCs w:val="24"/>
          <w:lang w:val="en-US" w:eastAsia="zh-CN"/>
        </w:rPr>
        <w:t>实质性要求的投标单位中标。</w:t>
      </w:r>
    </w:p>
    <w:p w14:paraId="60B3A8CB">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6.3.2</w:t>
      </w:r>
      <w:r>
        <w:rPr>
          <w:rFonts w:hint="eastAsia" w:ascii="宋体" w:hAnsi="宋体" w:cs="宋体"/>
          <w:spacing w:val="-2"/>
          <w:sz w:val="24"/>
          <w:szCs w:val="24"/>
          <w:lang w:val="en-US" w:eastAsia="zh-CN"/>
        </w:rPr>
        <w:t xml:space="preserve"> </w:t>
      </w:r>
      <w:r>
        <w:rPr>
          <w:rFonts w:hint="eastAsia" w:ascii="宋体" w:hAnsi="宋体" w:eastAsia="宋体" w:cs="宋体"/>
          <w:spacing w:val="-2"/>
          <w:sz w:val="24"/>
          <w:szCs w:val="24"/>
          <w:lang w:val="en-US" w:eastAsia="zh-CN"/>
        </w:rPr>
        <w:t>在投标文件有效期截止之前，招标单位向中标单位发出中标通知书。</w:t>
      </w:r>
    </w:p>
    <w:p w14:paraId="2D4A1256">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6.3.3</w:t>
      </w:r>
      <w:r>
        <w:rPr>
          <w:rFonts w:hint="eastAsia" w:ascii="宋体" w:hAnsi="宋体" w:cs="宋体"/>
          <w:spacing w:val="-2"/>
          <w:sz w:val="24"/>
          <w:szCs w:val="24"/>
          <w:lang w:val="en-US" w:eastAsia="zh-CN"/>
        </w:rPr>
        <w:t xml:space="preserve"> </w:t>
      </w:r>
      <w:r>
        <w:rPr>
          <w:rFonts w:hint="eastAsia" w:ascii="宋体" w:hAnsi="宋体" w:eastAsia="宋体" w:cs="宋体"/>
          <w:spacing w:val="-2"/>
          <w:sz w:val="24"/>
          <w:szCs w:val="24"/>
          <w:lang w:val="en-US" w:eastAsia="zh-CN"/>
        </w:rPr>
        <w:t>由甲方根据实际情况安排中标人所施工的标段，乙方须服从安排。</w:t>
      </w:r>
    </w:p>
    <w:p w14:paraId="710A6243">
      <w:pPr>
        <w:pStyle w:val="6"/>
        <w:keepNext w:val="0"/>
        <w:keepLines w:val="0"/>
        <w:pageBreakBefore w:val="0"/>
        <w:widowControl/>
        <w:kinsoku w:val="0"/>
        <w:wordWrap/>
        <w:overflowPunct/>
        <w:topLinePunct w:val="0"/>
        <w:autoSpaceDE w:val="0"/>
        <w:autoSpaceDN w:val="0"/>
        <w:bidi w:val="0"/>
        <w:adjustRightInd w:val="0"/>
        <w:snapToGrid w:val="0"/>
        <w:spacing w:before="164" w:beforeLines="50" w:after="164" w:afterLines="50" w:line="360" w:lineRule="auto"/>
        <w:ind w:left="0" w:right="0" w:firstLine="0"/>
        <w:textAlignment w:val="baseline"/>
        <w:outlineLvl w:val="1"/>
        <w:rPr>
          <w:rFonts w:hint="eastAsia" w:ascii="宋体" w:hAnsi="宋体" w:eastAsia="宋体" w:cs="宋体"/>
          <w:b/>
          <w:bCs/>
          <w:spacing w:val="-11"/>
          <w:sz w:val="28"/>
          <w:szCs w:val="28"/>
          <w:lang w:val="en-US" w:eastAsia="zh-CN"/>
        </w:rPr>
      </w:pPr>
      <w:r>
        <w:rPr>
          <w:rFonts w:hint="eastAsia" w:ascii="宋体" w:hAnsi="宋体" w:eastAsia="宋体" w:cs="宋体"/>
          <w:b/>
          <w:bCs/>
          <w:spacing w:val="-11"/>
          <w:sz w:val="28"/>
          <w:szCs w:val="28"/>
          <w:lang w:val="en-US" w:eastAsia="zh-CN"/>
        </w:rPr>
        <w:t>7.合同签署</w:t>
      </w:r>
    </w:p>
    <w:p w14:paraId="33E10BD5">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cs="宋体"/>
          <w:spacing w:val="-2"/>
          <w:sz w:val="24"/>
          <w:szCs w:val="24"/>
          <w:lang w:val="en-US" w:eastAsia="zh-CN"/>
        </w:rPr>
        <w:t xml:space="preserve">7.1 </w:t>
      </w:r>
      <w:r>
        <w:rPr>
          <w:rFonts w:hint="eastAsia" w:ascii="宋体" w:hAnsi="宋体" w:eastAsia="宋体" w:cs="宋体"/>
          <w:spacing w:val="-2"/>
          <w:sz w:val="24"/>
          <w:szCs w:val="24"/>
          <w:lang w:val="en-US" w:eastAsia="zh-CN"/>
        </w:rPr>
        <w:t>中标单位收到中标通知书后</w:t>
      </w:r>
      <w:r>
        <w:rPr>
          <w:rFonts w:hint="eastAsia" w:ascii="宋体" w:hAnsi="宋体" w:cs="宋体"/>
          <w:spacing w:val="-2"/>
          <w:sz w:val="24"/>
          <w:szCs w:val="24"/>
          <w:lang w:val="en-US" w:eastAsia="zh-CN"/>
        </w:rPr>
        <w:t>30</w:t>
      </w:r>
      <w:r>
        <w:rPr>
          <w:rFonts w:hint="eastAsia" w:ascii="宋体" w:hAnsi="宋体" w:eastAsia="宋体" w:cs="宋体"/>
          <w:spacing w:val="-2"/>
          <w:sz w:val="24"/>
          <w:szCs w:val="24"/>
          <w:lang w:val="en-US" w:eastAsia="zh-CN"/>
        </w:rPr>
        <w:t>天之内应与招标单位按照招标文件中的“合同条款”签署合同。</w:t>
      </w:r>
    </w:p>
    <w:p w14:paraId="591DFC01">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cs="宋体"/>
          <w:spacing w:val="-2"/>
          <w:sz w:val="24"/>
          <w:szCs w:val="24"/>
          <w:lang w:val="en-US" w:eastAsia="zh-CN"/>
        </w:rPr>
        <w:t>7.2 合同签署地点为本招标文件发出地点。</w:t>
      </w:r>
    </w:p>
    <w:p w14:paraId="238DD476">
      <w:pPr>
        <w:pStyle w:val="6"/>
        <w:keepNext w:val="0"/>
        <w:keepLines w:val="0"/>
        <w:pageBreakBefore w:val="0"/>
        <w:widowControl/>
        <w:kinsoku w:val="0"/>
        <w:wordWrap/>
        <w:overflowPunct/>
        <w:topLinePunct w:val="0"/>
        <w:autoSpaceDE w:val="0"/>
        <w:autoSpaceDN w:val="0"/>
        <w:bidi w:val="0"/>
        <w:adjustRightInd w:val="0"/>
        <w:snapToGrid w:val="0"/>
        <w:spacing w:before="164" w:beforeLines="50" w:after="164" w:afterLines="50" w:line="360" w:lineRule="auto"/>
        <w:ind w:left="0" w:right="0" w:firstLine="0"/>
        <w:textAlignment w:val="baseline"/>
        <w:outlineLvl w:val="1"/>
        <w:rPr>
          <w:rFonts w:hint="eastAsia" w:ascii="宋体" w:hAnsi="宋体" w:eastAsia="宋体" w:cs="宋体"/>
          <w:b/>
          <w:bCs/>
          <w:spacing w:val="-11"/>
          <w:sz w:val="28"/>
          <w:szCs w:val="28"/>
          <w:lang w:val="en-US" w:eastAsia="zh-CN"/>
        </w:rPr>
      </w:pPr>
      <w:r>
        <w:rPr>
          <w:rFonts w:hint="eastAsia" w:ascii="宋体" w:hAnsi="宋体" w:eastAsia="宋体" w:cs="宋体"/>
          <w:b/>
          <w:bCs/>
          <w:spacing w:val="-11"/>
          <w:sz w:val="28"/>
          <w:szCs w:val="28"/>
          <w:lang w:val="en-US" w:eastAsia="zh-CN"/>
        </w:rPr>
        <w:t>8.招标单位的权利</w:t>
      </w:r>
    </w:p>
    <w:p w14:paraId="3AB945B8">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cs="宋体"/>
          <w:spacing w:val="-2"/>
          <w:sz w:val="24"/>
          <w:szCs w:val="24"/>
          <w:lang w:val="en-US" w:eastAsia="zh-CN"/>
        </w:rPr>
        <w:t>8</w:t>
      </w:r>
      <w:r>
        <w:rPr>
          <w:rFonts w:hint="eastAsia" w:ascii="宋体" w:hAnsi="宋体" w:eastAsia="宋体" w:cs="宋体"/>
          <w:spacing w:val="-2"/>
          <w:sz w:val="24"/>
          <w:szCs w:val="24"/>
          <w:lang w:val="en-US" w:eastAsia="zh-CN"/>
        </w:rPr>
        <w:t>.1</w:t>
      </w:r>
      <w:r>
        <w:rPr>
          <w:rFonts w:hint="eastAsia" w:ascii="宋体" w:hAnsi="宋体" w:cs="宋体"/>
          <w:spacing w:val="-2"/>
          <w:sz w:val="24"/>
          <w:szCs w:val="24"/>
          <w:lang w:val="en-US" w:eastAsia="zh-CN"/>
        </w:rPr>
        <w:t xml:space="preserve"> </w:t>
      </w:r>
      <w:r>
        <w:rPr>
          <w:rFonts w:hint="eastAsia" w:ascii="宋体" w:hAnsi="宋体" w:eastAsia="宋体" w:cs="宋体"/>
          <w:spacing w:val="-2"/>
          <w:sz w:val="24"/>
          <w:szCs w:val="24"/>
          <w:lang w:val="en-US" w:eastAsia="zh-CN"/>
        </w:rPr>
        <w:t>当发现投标单位违规、作弊、围标、串标时，招标单位可宣布本次招标无效。</w:t>
      </w:r>
    </w:p>
    <w:p w14:paraId="34C1C726">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cs="宋体"/>
          <w:spacing w:val="-2"/>
          <w:sz w:val="24"/>
          <w:szCs w:val="24"/>
          <w:lang w:val="en-US" w:eastAsia="zh-CN"/>
        </w:rPr>
        <w:t>8</w:t>
      </w:r>
      <w:r>
        <w:rPr>
          <w:rFonts w:hint="eastAsia" w:ascii="宋体" w:hAnsi="宋体" w:eastAsia="宋体" w:cs="宋体"/>
          <w:spacing w:val="-2"/>
          <w:sz w:val="24"/>
          <w:szCs w:val="24"/>
          <w:lang w:val="en-US" w:eastAsia="zh-CN"/>
        </w:rPr>
        <w:t>.2</w:t>
      </w:r>
      <w:r>
        <w:rPr>
          <w:rFonts w:hint="eastAsia" w:ascii="宋体" w:hAnsi="宋体" w:cs="宋体"/>
          <w:spacing w:val="-2"/>
          <w:sz w:val="24"/>
          <w:szCs w:val="24"/>
          <w:lang w:val="en-US" w:eastAsia="zh-CN"/>
        </w:rPr>
        <w:t xml:space="preserve"> </w:t>
      </w:r>
      <w:r>
        <w:rPr>
          <w:rFonts w:hint="eastAsia" w:ascii="宋体" w:hAnsi="宋体" w:eastAsia="宋体" w:cs="宋体"/>
          <w:spacing w:val="-2"/>
          <w:sz w:val="24"/>
          <w:szCs w:val="24"/>
          <w:lang w:val="en-US" w:eastAsia="zh-CN"/>
        </w:rPr>
        <w:t>招标单位不一定要授标给报价最低的投标单位。</w:t>
      </w:r>
    </w:p>
    <w:p w14:paraId="4513F71B">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72" w:firstLineChars="200"/>
        <w:jc w:val="left"/>
        <w:textAlignment w:val="baseline"/>
        <w:rPr>
          <w:rFonts w:hint="eastAsia" w:ascii="宋体" w:hAnsi="宋体" w:eastAsia="宋体" w:cs="宋体"/>
          <w:spacing w:val="-2"/>
          <w:sz w:val="24"/>
          <w:szCs w:val="24"/>
          <w:lang w:val="en-US" w:eastAsia="zh-CN"/>
        </w:rPr>
      </w:pPr>
      <w:r>
        <w:rPr>
          <w:rFonts w:hint="eastAsia" w:ascii="宋体" w:hAnsi="宋体" w:cs="宋体"/>
          <w:spacing w:val="-2"/>
          <w:sz w:val="24"/>
          <w:szCs w:val="24"/>
          <w:lang w:val="en-US" w:eastAsia="zh-CN"/>
        </w:rPr>
        <w:t>8</w:t>
      </w:r>
      <w:r>
        <w:rPr>
          <w:rFonts w:hint="eastAsia" w:ascii="宋体" w:hAnsi="宋体" w:eastAsia="宋体" w:cs="宋体"/>
          <w:spacing w:val="-2"/>
          <w:sz w:val="24"/>
          <w:szCs w:val="24"/>
          <w:lang w:val="en-US" w:eastAsia="zh-CN"/>
        </w:rPr>
        <w:t>.3</w:t>
      </w:r>
      <w:r>
        <w:rPr>
          <w:rFonts w:hint="eastAsia" w:ascii="宋体" w:hAnsi="宋体" w:cs="宋体"/>
          <w:spacing w:val="-2"/>
          <w:sz w:val="24"/>
          <w:szCs w:val="24"/>
          <w:lang w:val="en-US" w:eastAsia="zh-CN"/>
        </w:rPr>
        <w:t xml:space="preserve"> </w:t>
      </w:r>
      <w:r>
        <w:rPr>
          <w:rFonts w:hint="eastAsia" w:ascii="宋体" w:hAnsi="宋体" w:eastAsia="宋体" w:cs="宋体"/>
          <w:spacing w:val="-2"/>
          <w:sz w:val="24"/>
          <w:szCs w:val="24"/>
          <w:lang w:val="en-US" w:eastAsia="zh-CN"/>
        </w:rPr>
        <w:t>招标单位没有义务向落选的投标单位作任何解释。</w:t>
      </w:r>
      <w:r>
        <w:rPr>
          <w:rFonts w:hint="eastAsia" w:ascii="宋体" w:hAnsi="宋体" w:eastAsia="宋体" w:cs="宋体"/>
          <w:spacing w:val="-2"/>
          <w:sz w:val="24"/>
          <w:szCs w:val="24"/>
          <w:lang w:val="en-US" w:eastAsia="zh-CN"/>
        </w:rPr>
        <w:br w:type="page"/>
      </w:r>
    </w:p>
    <w:bookmarkEnd w:id="1"/>
    <w:p w14:paraId="13910EA5">
      <w:pPr>
        <w:pStyle w:val="6"/>
        <w:keepNext w:val="0"/>
        <w:keepLines w:val="0"/>
        <w:pageBreakBefore w:val="0"/>
        <w:widowControl/>
        <w:kinsoku w:val="0"/>
        <w:wordWrap/>
        <w:overflowPunct/>
        <w:topLinePunct w:val="0"/>
        <w:autoSpaceDE w:val="0"/>
        <w:autoSpaceDN w:val="0"/>
        <w:bidi w:val="0"/>
        <w:adjustRightInd w:val="0"/>
        <w:snapToGrid w:val="0"/>
        <w:spacing w:before="327" w:beforeLines="100" w:after="327" w:afterLines="100" w:line="240" w:lineRule="auto"/>
        <w:ind w:left="0" w:right="0" w:firstLine="0"/>
        <w:textAlignment w:val="baseline"/>
        <w:outlineLvl w:val="0"/>
        <w:rPr>
          <w:rFonts w:hint="eastAsia" w:ascii="宋体" w:hAnsi="宋体" w:eastAsia="宋体" w:cs="宋体"/>
          <w:b/>
          <w:bCs/>
          <w:spacing w:val="7"/>
          <w:sz w:val="32"/>
          <w:szCs w:val="32"/>
          <w:lang w:val="en-US" w:eastAsia="zh-CN"/>
        </w:rPr>
      </w:pPr>
      <w:r>
        <w:rPr>
          <w:rFonts w:hint="eastAsia" w:ascii="宋体" w:hAnsi="宋体" w:eastAsia="宋体" w:cs="宋体"/>
          <w:b/>
          <w:bCs/>
          <w:spacing w:val="7"/>
          <w:sz w:val="32"/>
          <w:szCs w:val="32"/>
          <w:lang w:val="en-US" w:eastAsia="zh-CN"/>
        </w:rPr>
        <w:t>四、投标文件的内容与形式</w:t>
      </w:r>
    </w:p>
    <w:p w14:paraId="0432B5BD">
      <w:pPr>
        <w:pStyle w:val="6"/>
        <w:keepNext w:val="0"/>
        <w:keepLines w:val="0"/>
        <w:pageBreakBefore w:val="0"/>
        <w:widowControl/>
        <w:kinsoku w:val="0"/>
        <w:wordWrap/>
        <w:overflowPunct/>
        <w:topLinePunct w:val="0"/>
        <w:autoSpaceDE w:val="0"/>
        <w:autoSpaceDN w:val="0"/>
        <w:bidi w:val="0"/>
        <w:adjustRightInd w:val="0"/>
        <w:snapToGrid w:val="0"/>
        <w:spacing w:before="164" w:beforeLines="50" w:after="164" w:afterLines="50" w:line="240" w:lineRule="auto"/>
        <w:ind w:left="0" w:right="0" w:firstLine="0"/>
        <w:textAlignment w:val="baseline"/>
        <w:outlineLvl w:val="1"/>
        <w:rPr>
          <w:rFonts w:hint="eastAsia" w:ascii="宋体" w:hAnsi="宋体" w:cs="宋体"/>
          <w:b/>
          <w:bCs/>
          <w:spacing w:val="-11"/>
          <w:sz w:val="28"/>
          <w:szCs w:val="28"/>
          <w:lang w:val="en-US" w:eastAsia="zh-CN"/>
        </w:rPr>
      </w:pPr>
      <w:bookmarkStart w:id="2" w:name="_Toc205630160"/>
      <w:r>
        <w:rPr>
          <w:rFonts w:hint="eastAsia" w:ascii="宋体" w:hAnsi="宋体" w:cs="宋体"/>
          <w:b/>
          <w:bCs/>
          <w:spacing w:val="-11"/>
          <w:sz w:val="28"/>
          <w:szCs w:val="28"/>
          <w:lang w:val="en-US" w:eastAsia="zh-CN"/>
        </w:rPr>
        <w:t>1.封面</w:t>
      </w:r>
      <w:bookmarkEnd w:id="2"/>
    </w:p>
    <w:p w14:paraId="196065F2">
      <w:pPr>
        <w:spacing w:line="360" w:lineRule="auto"/>
        <w:ind w:left="0" w:leftChars="0" w:firstLine="0" w:firstLineChars="0"/>
        <w:jc w:val="center"/>
        <w:rPr>
          <w:rFonts w:hint="eastAsia" w:ascii="宋体" w:hAnsi="宋体"/>
          <w:b/>
          <w:color w:val="auto"/>
          <w:spacing w:val="10"/>
          <w:sz w:val="40"/>
          <w:szCs w:val="40"/>
          <w:highlight w:val="none"/>
          <w:lang w:eastAsia="zh-CN"/>
        </w:rPr>
      </w:pPr>
    </w:p>
    <w:p w14:paraId="31D5D82D">
      <w:pPr>
        <w:spacing w:line="360" w:lineRule="auto"/>
        <w:ind w:left="0" w:leftChars="0" w:firstLine="0" w:firstLineChars="0"/>
        <w:jc w:val="center"/>
        <w:rPr>
          <w:rFonts w:hint="default" w:ascii="宋体" w:hAnsi="宋体"/>
          <w:b/>
          <w:color w:val="auto"/>
          <w:spacing w:val="10"/>
          <w:sz w:val="36"/>
          <w:szCs w:val="36"/>
          <w:highlight w:val="none"/>
          <w:lang w:val="en-US" w:eastAsia="zh-CN"/>
        </w:rPr>
      </w:pPr>
      <w:permStart w:id="21" w:edGrp="everyone"/>
      <w:r>
        <w:rPr>
          <w:rFonts w:hint="eastAsia" w:ascii="宋体" w:hAnsi="宋体"/>
          <w:b/>
          <w:color w:val="auto"/>
          <w:spacing w:val="10"/>
          <w:sz w:val="36"/>
          <w:szCs w:val="36"/>
          <w:highlight w:val="none"/>
          <w:u w:val="single"/>
          <w:lang w:eastAsia="zh-CN"/>
        </w:rPr>
        <w:t>浙石化2025炼油芳烃事业部大修(1#气提、2#硫磺、4#硫磺)项目隐患消缺中补焊及管道技改</w:t>
      </w:r>
      <w:r>
        <w:rPr>
          <w:rFonts w:hint="eastAsia" w:ascii="宋体" w:hAnsi="宋体"/>
          <w:b/>
          <w:color w:val="auto"/>
          <w:spacing w:val="10"/>
          <w:sz w:val="36"/>
          <w:szCs w:val="36"/>
          <w:highlight w:val="none"/>
          <w:u w:val="single"/>
          <w:lang w:val="en-US" w:eastAsia="zh-CN"/>
        </w:rPr>
        <w:t>等</w:t>
      </w:r>
      <w:r>
        <w:rPr>
          <w:rFonts w:hint="eastAsia" w:ascii="宋体" w:hAnsi="宋体"/>
          <w:b/>
          <w:color w:val="auto"/>
          <w:spacing w:val="10"/>
          <w:sz w:val="36"/>
          <w:szCs w:val="36"/>
          <w:highlight w:val="none"/>
          <w:u w:val="single"/>
          <w:lang w:eastAsia="zh-CN"/>
        </w:rPr>
        <w:t>施工内容</w:t>
      </w:r>
      <w:permEnd w:id="21"/>
      <w:r>
        <w:rPr>
          <w:rFonts w:hint="eastAsia" w:ascii="宋体" w:hAnsi="宋体"/>
          <w:b/>
          <w:color w:val="auto"/>
          <w:spacing w:val="10"/>
          <w:sz w:val="36"/>
          <w:szCs w:val="36"/>
          <w:highlight w:val="none"/>
          <w:lang w:eastAsia="zh-CN"/>
        </w:rPr>
        <w:t>劳务分包</w:t>
      </w:r>
    </w:p>
    <w:p w14:paraId="5FFECD1F">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outlineLvl w:val="9"/>
        <w:rPr>
          <w:rFonts w:hint="eastAsia" w:asciiTheme="minorEastAsia" w:hAnsiTheme="minorEastAsia" w:eastAsiaTheme="minorEastAsia" w:cstheme="minorEastAsia"/>
          <w:color w:val="000000"/>
          <w:sz w:val="36"/>
          <w:szCs w:val="36"/>
          <w:highlight w:val="none"/>
        </w:rPr>
      </w:pPr>
    </w:p>
    <w:p w14:paraId="1A79467D">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outlineLvl w:val="9"/>
        <w:rPr>
          <w:rFonts w:hint="eastAsia" w:asciiTheme="minorEastAsia" w:hAnsiTheme="minorEastAsia" w:eastAsiaTheme="minorEastAsia" w:cstheme="minorEastAsia"/>
          <w:color w:val="000000"/>
          <w:sz w:val="72"/>
          <w:szCs w:val="72"/>
          <w:highlight w:val="none"/>
        </w:rPr>
      </w:pPr>
      <w:r>
        <w:rPr>
          <w:rFonts w:hint="eastAsia" w:asciiTheme="minorEastAsia" w:hAnsiTheme="minorEastAsia" w:eastAsiaTheme="minorEastAsia" w:cstheme="minorEastAsia"/>
          <w:color w:val="000000"/>
          <w:sz w:val="72"/>
          <w:szCs w:val="72"/>
          <w:highlight w:val="none"/>
        </w:rPr>
        <w:t>投</w:t>
      </w:r>
    </w:p>
    <w:p w14:paraId="767A4196">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outlineLvl w:val="9"/>
        <w:rPr>
          <w:rFonts w:hint="eastAsia" w:asciiTheme="minorEastAsia" w:hAnsiTheme="minorEastAsia" w:eastAsiaTheme="minorEastAsia" w:cstheme="minorEastAsia"/>
          <w:color w:val="000000"/>
          <w:sz w:val="72"/>
          <w:szCs w:val="72"/>
          <w:highlight w:val="none"/>
        </w:rPr>
      </w:pPr>
    </w:p>
    <w:p w14:paraId="357FB890">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outlineLvl w:val="9"/>
        <w:rPr>
          <w:rFonts w:hint="eastAsia" w:asciiTheme="minorEastAsia" w:hAnsiTheme="minorEastAsia" w:eastAsiaTheme="minorEastAsia" w:cstheme="minorEastAsia"/>
          <w:color w:val="000000"/>
          <w:sz w:val="72"/>
          <w:szCs w:val="72"/>
          <w:highlight w:val="none"/>
        </w:rPr>
      </w:pPr>
      <w:r>
        <w:rPr>
          <w:rFonts w:hint="eastAsia" w:asciiTheme="minorEastAsia" w:hAnsiTheme="minorEastAsia" w:eastAsiaTheme="minorEastAsia" w:cstheme="minorEastAsia"/>
          <w:color w:val="000000"/>
          <w:sz w:val="72"/>
          <w:szCs w:val="72"/>
          <w:highlight w:val="none"/>
        </w:rPr>
        <w:t>标</w:t>
      </w:r>
    </w:p>
    <w:p w14:paraId="18AEFCA7">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outlineLvl w:val="9"/>
        <w:rPr>
          <w:rFonts w:hint="eastAsia" w:asciiTheme="minorEastAsia" w:hAnsiTheme="minorEastAsia" w:eastAsiaTheme="minorEastAsia" w:cstheme="minorEastAsia"/>
          <w:color w:val="000000"/>
          <w:sz w:val="72"/>
          <w:szCs w:val="72"/>
          <w:highlight w:val="none"/>
        </w:rPr>
      </w:pPr>
    </w:p>
    <w:p w14:paraId="41C5880C">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72"/>
          <w:szCs w:val="72"/>
          <w:highlight w:val="none"/>
        </w:rPr>
        <w:t>书</w:t>
      </w:r>
    </w:p>
    <w:p w14:paraId="79380E8F">
      <w:pPr>
        <w:pageBreakBefore w:val="0"/>
        <w:widowControl w:val="0"/>
        <w:kinsoku/>
        <w:wordWrap/>
        <w:overflowPunct/>
        <w:topLinePunct w:val="0"/>
        <w:autoSpaceDE/>
        <w:autoSpaceDN/>
        <w:bidi w:val="0"/>
        <w:adjustRightInd/>
        <w:snapToGrid/>
        <w:spacing w:line="360" w:lineRule="auto"/>
        <w:ind w:left="0" w:firstLine="0" w:firstLineChars="0"/>
        <w:jc w:val="left"/>
        <w:textAlignment w:val="auto"/>
        <w:outlineLvl w:val="9"/>
        <w:rPr>
          <w:rFonts w:hint="eastAsia" w:asciiTheme="minorEastAsia" w:hAnsiTheme="minorEastAsia" w:eastAsiaTheme="minorEastAsia" w:cstheme="minorEastAsia"/>
          <w:color w:val="000000"/>
          <w:sz w:val="24"/>
          <w:szCs w:val="24"/>
          <w:highlight w:val="none"/>
        </w:rPr>
      </w:pPr>
    </w:p>
    <w:p w14:paraId="439E66D3">
      <w:pPr>
        <w:pageBreakBefore w:val="0"/>
        <w:widowControl w:val="0"/>
        <w:kinsoku/>
        <w:wordWrap/>
        <w:overflowPunct/>
        <w:topLinePunct w:val="0"/>
        <w:autoSpaceDE/>
        <w:autoSpaceDN/>
        <w:bidi w:val="0"/>
        <w:adjustRightInd/>
        <w:snapToGrid/>
        <w:spacing w:line="360" w:lineRule="auto"/>
        <w:ind w:left="0" w:firstLine="0" w:firstLineChars="0"/>
        <w:jc w:val="left"/>
        <w:textAlignment w:val="auto"/>
        <w:outlineLvl w:val="9"/>
        <w:rPr>
          <w:rFonts w:hint="eastAsia" w:asciiTheme="minorEastAsia" w:hAnsiTheme="minorEastAsia" w:eastAsiaTheme="minorEastAsia" w:cstheme="minorEastAsia"/>
          <w:color w:val="000000"/>
          <w:sz w:val="24"/>
          <w:szCs w:val="24"/>
          <w:highlight w:val="none"/>
        </w:rPr>
      </w:pPr>
    </w:p>
    <w:p w14:paraId="3374960F">
      <w:pPr>
        <w:keepNext w:val="0"/>
        <w:keepLines w:val="0"/>
        <w:pageBreakBefore w:val="0"/>
        <w:widowControl w:val="0"/>
        <w:kinsoku/>
        <w:wordWrap/>
        <w:overflowPunct/>
        <w:topLinePunct w:val="0"/>
        <w:autoSpaceDE/>
        <w:autoSpaceDN/>
        <w:bidi w:val="0"/>
        <w:adjustRightInd/>
        <w:snapToGrid/>
        <w:spacing w:line="480" w:lineRule="auto"/>
        <w:ind w:left="0" w:firstLine="0" w:firstLineChars="0"/>
        <w:jc w:val="left"/>
        <w:textAlignment w:val="auto"/>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                  </w:t>
      </w:r>
      <w:r>
        <w:rPr>
          <w:rFonts w:hint="eastAsia" w:asciiTheme="minorEastAsia" w:hAnsiTheme="minorEastAsia" w:eastAsiaTheme="minorEastAsia" w:cstheme="minorEastAsia"/>
          <w:color w:val="000000"/>
          <w:sz w:val="24"/>
          <w:szCs w:val="24"/>
          <w:highlight w:val="none"/>
          <w:lang w:val="en-US" w:eastAsia="zh-CN"/>
        </w:rPr>
        <w:t xml:space="preserve">  </w:t>
      </w:r>
      <w:r>
        <w:rPr>
          <w:rFonts w:hint="eastAsia" w:asciiTheme="minorEastAsia" w:hAnsiTheme="minorEastAsia" w:eastAsiaTheme="minorEastAsia" w:cstheme="minorEastAsia"/>
          <w:color w:val="000000"/>
          <w:sz w:val="24"/>
          <w:szCs w:val="24"/>
          <w:highlight w:val="none"/>
          <w:lang w:eastAsia="zh-CN"/>
        </w:rPr>
        <w:t>投标</w:t>
      </w:r>
      <w:r>
        <w:rPr>
          <w:rFonts w:hint="eastAsia" w:asciiTheme="minorEastAsia" w:hAnsiTheme="minorEastAsia" w:eastAsiaTheme="minorEastAsia" w:cstheme="minorEastAsia"/>
          <w:color w:val="000000"/>
          <w:sz w:val="24"/>
          <w:szCs w:val="24"/>
          <w:highlight w:val="none"/>
          <w:lang w:val="en-US" w:eastAsia="zh-CN"/>
        </w:rPr>
        <w:t>单位</w:t>
      </w:r>
      <w:r>
        <w:rPr>
          <w:rFonts w:hint="eastAsia" w:asciiTheme="minorEastAsia" w:hAnsiTheme="minorEastAsia" w:eastAsiaTheme="minorEastAsia" w:cstheme="minorEastAsia"/>
          <w:color w:val="000000"/>
          <w:sz w:val="24"/>
          <w:szCs w:val="24"/>
          <w:highlight w:val="none"/>
        </w:rPr>
        <w:t>：</w:t>
      </w:r>
    </w:p>
    <w:p w14:paraId="41DB7161">
      <w:pPr>
        <w:keepNext w:val="0"/>
        <w:keepLines w:val="0"/>
        <w:pageBreakBefore w:val="0"/>
        <w:widowControl w:val="0"/>
        <w:kinsoku/>
        <w:wordWrap/>
        <w:overflowPunct/>
        <w:topLinePunct w:val="0"/>
        <w:autoSpaceDE/>
        <w:autoSpaceDN/>
        <w:bidi w:val="0"/>
        <w:adjustRightInd/>
        <w:snapToGrid/>
        <w:spacing w:line="480" w:lineRule="auto"/>
        <w:ind w:left="0" w:firstLine="0" w:firstLineChars="0"/>
        <w:jc w:val="left"/>
        <w:textAlignment w:val="auto"/>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                 </w:t>
      </w:r>
      <w:r>
        <w:rPr>
          <w:rFonts w:hint="eastAsia" w:asciiTheme="minorEastAsia" w:hAnsiTheme="minorEastAsia" w:eastAsiaTheme="minorEastAsia" w:cstheme="minorEastAsia"/>
          <w:color w:val="000000"/>
          <w:sz w:val="24"/>
          <w:szCs w:val="24"/>
          <w:highlight w:val="none"/>
          <w:lang w:val="en-US" w:eastAsia="zh-CN"/>
        </w:rPr>
        <w:t xml:space="preserve">           </w:t>
      </w:r>
      <w:r>
        <w:rPr>
          <w:rFonts w:hint="eastAsia" w:asciiTheme="minorEastAsia" w:hAnsiTheme="minorEastAsia" w:eastAsiaTheme="minorEastAsia" w:cstheme="minorEastAsia"/>
          <w:color w:val="000000"/>
          <w:sz w:val="24"/>
          <w:szCs w:val="24"/>
          <w:highlight w:val="none"/>
        </w:rPr>
        <w:t xml:space="preserve">年   </w:t>
      </w:r>
      <w:r>
        <w:rPr>
          <w:rFonts w:hint="eastAsia" w:asciiTheme="minorEastAsia" w:hAnsiTheme="minorEastAsia" w:eastAsiaTheme="minorEastAsia" w:cstheme="minorEastAsia"/>
          <w:color w:val="000000"/>
          <w:sz w:val="24"/>
          <w:szCs w:val="24"/>
          <w:highlight w:val="none"/>
          <w:lang w:val="en-US" w:eastAsia="zh-CN"/>
        </w:rPr>
        <w:t xml:space="preserve">  </w:t>
      </w:r>
      <w:r>
        <w:rPr>
          <w:rFonts w:hint="eastAsia" w:asciiTheme="minorEastAsia" w:hAnsiTheme="minorEastAsia" w:eastAsiaTheme="minorEastAsia" w:cstheme="minorEastAsia"/>
          <w:color w:val="000000"/>
          <w:sz w:val="24"/>
          <w:szCs w:val="24"/>
          <w:highlight w:val="none"/>
        </w:rPr>
        <w:t xml:space="preserve">  月   </w:t>
      </w:r>
      <w:r>
        <w:rPr>
          <w:rFonts w:hint="eastAsia" w:asciiTheme="minorEastAsia" w:hAnsiTheme="minorEastAsia" w:eastAsiaTheme="minorEastAsia" w:cstheme="minorEastAsia"/>
          <w:color w:val="000000"/>
          <w:sz w:val="24"/>
          <w:szCs w:val="24"/>
          <w:highlight w:val="none"/>
          <w:lang w:val="en-US" w:eastAsia="zh-CN"/>
        </w:rPr>
        <w:t xml:space="preserve">  </w:t>
      </w:r>
      <w:r>
        <w:rPr>
          <w:rFonts w:hint="eastAsia" w:asciiTheme="minorEastAsia" w:hAnsiTheme="minorEastAsia" w:eastAsiaTheme="minorEastAsia" w:cstheme="minorEastAsia"/>
          <w:color w:val="000000"/>
          <w:sz w:val="24"/>
          <w:szCs w:val="24"/>
          <w:highlight w:val="none"/>
        </w:rPr>
        <w:t xml:space="preserve">  日</w:t>
      </w:r>
      <w:bookmarkStart w:id="3" w:name="_Toc205630161"/>
    </w:p>
    <w:p w14:paraId="41297BAC">
      <w:pPr>
        <w:rPr>
          <w:rFonts w:hint="eastAsia" w:ascii="宋体" w:hAnsi="宋体" w:cs="宋体"/>
          <w:b/>
          <w:bCs/>
          <w:spacing w:val="-11"/>
          <w:sz w:val="28"/>
          <w:szCs w:val="28"/>
          <w:lang w:val="en-US" w:eastAsia="zh-CN"/>
        </w:rPr>
      </w:pPr>
      <w:r>
        <w:rPr>
          <w:rFonts w:hint="eastAsia" w:ascii="宋体" w:hAnsi="宋体" w:cs="宋体"/>
          <w:b/>
          <w:bCs/>
          <w:spacing w:val="-11"/>
          <w:sz w:val="28"/>
          <w:szCs w:val="28"/>
          <w:lang w:val="en-US" w:eastAsia="zh-CN"/>
        </w:rPr>
        <w:br w:type="page"/>
      </w:r>
    </w:p>
    <w:p w14:paraId="5095FD2E">
      <w:pPr>
        <w:pStyle w:val="6"/>
        <w:keepNext w:val="0"/>
        <w:keepLines w:val="0"/>
        <w:pageBreakBefore w:val="0"/>
        <w:widowControl/>
        <w:kinsoku w:val="0"/>
        <w:wordWrap/>
        <w:overflowPunct/>
        <w:topLinePunct w:val="0"/>
        <w:autoSpaceDE w:val="0"/>
        <w:autoSpaceDN w:val="0"/>
        <w:bidi w:val="0"/>
        <w:adjustRightInd w:val="0"/>
        <w:snapToGrid w:val="0"/>
        <w:spacing w:before="164" w:beforeLines="50" w:after="164" w:afterLines="50" w:line="240" w:lineRule="auto"/>
        <w:ind w:left="0" w:right="0" w:firstLine="0"/>
        <w:textAlignment w:val="baseline"/>
        <w:outlineLvl w:val="1"/>
        <w:rPr>
          <w:rFonts w:hint="eastAsia" w:ascii="宋体" w:hAnsi="宋体" w:cs="宋体"/>
          <w:b/>
          <w:bCs/>
          <w:spacing w:val="-11"/>
          <w:sz w:val="28"/>
          <w:szCs w:val="28"/>
          <w:lang w:val="en-US" w:eastAsia="zh-CN"/>
        </w:rPr>
      </w:pPr>
      <w:r>
        <w:rPr>
          <w:rFonts w:hint="eastAsia" w:ascii="宋体" w:hAnsi="宋体" w:cs="宋体"/>
          <w:b/>
          <w:bCs/>
          <w:spacing w:val="-11"/>
          <w:sz w:val="28"/>
          <w:szCs w:val="28"/>
          <w:lang w:val="en-US" w:eastAsia="zh-CN"/>
        </w:rPr>
        <w:t>2.投标书（格式</w:t>
      </w:r>
      <w:bookmarkEnd w:id="3"/>
      <w:r>
        <w:rPr>
          <w:rFonts w:hint="eastAsia" w:ascii="宋体" w:hAnsi="宋体" w:cs="宋体"/>
          <w:b/>
          <w:bCs/>
          <w:spacing w:val="-11"/>
          <w:sz w:val="28"/>
          <w:szCs w:val="28"/>
          <w:lang w:val="en-US" w:eastAsia="zh-CN"/>
        </w:rPr>
        <w:t>）</w:t>
      </w:r>
    </w:p>
    <w:p w14:paraId="4E2A2457">
      <w:pPr>
        <w:pageBreakBefore w:val="0"/>
        <w:numPr>
          <w:ilvl w:val="0"/>
          <w:numId w:val="0"/>
        </w:numPr>
        <w:kinsoku/>
        <w:overflowPunct/>
        <w:topLinePunct w:val="0"/>
        <w:autoSpaceDE/>
        <w:autoSpaceDN/>
        <w:bidi w:val="0"/>
        <w:adjustRightInd/>
        <w:spacing w:line="360" w:lineRule="auto"/>
        <w:ind w:left="0" w:firstLine="0" w:firstLineChars="0"/>
        <w:jc w:val="left"/>
        <w:outlineLvl w:val="9"/>
        <w:rPr>
          <w:rFonts w:hint="eastAsia"/>
          <w:lang w:val="en-US" w:eastAsia="zh-CN"/>
        </w:rPr>
      </w:pPr>
    </w:p>
    <w:p w14:paraId="462D8EFF">
      <w:pPr>
        <w:pageBreakBefore w:val="0"/>
        <w:numPr>
          <w:ilvl w:val="0"/>
          <w:numId w:val="0"/>
        </w:numPr>
        <w:kinsoku/>
        <w:overflowPunct/>
        <w:topLinePunct w:val="0"/>
        <w:autoSpaceDE/>
        <w:autoSpaceDN/>
        <w:bidi w:val="0"/>
        <w:adjustRightInd/>
        <w:spacing w:line="360" w:lineRule="auto"/>
        <w:ind w:left="0" w:firstLine="0" w:firstLineChars="0"/>
        <w:jc w:val="left"/>
        <w:outlineLvl w:val="9"/>
        <w:rPr>
          <w:rFonts w:hint="eastAsia"/>
          <w:sz w:val="24"/>
          <w:szCs w:val="32"/>
          <w:lang w:val="en-US" w:eastAsia="zh-CN"/>
        </w:rPr>
      </w:pPr>
    </w:p>
    <w:p w14:paraId="3C68156F">
      <w:pPr>
        <w:pageBreakBefore w:val="0"/>
        <w:numPr>
          <w:ilvl w:val="0"/>
          <w:numId w:val="0"/>
        </w:numPr>
        <w:kinsoku/>
        <w:overflowPunct/>
        <w:topLinePunct w:val="0"/>
        <w:autoSpaceDE/>
        <w:autoSpaceDN/>
        <w:bidi w:val="0"/>
        <w:adjustRightInd/>
        <w:spacing w:line="360" w:lineRule="auto"/>
        <w:ind w:left="0" w:firstLine="0" w:firstLineChars="0"/>
        <w:jc w:val="left"/>
        <w:outlineLvl w:val="9"/>
        <w:rPr>
          <w:rFonts w:hint="default"/>
          <w:sz w:val="24"/>
          <w:szCs w:val="32"/>
          <w:u w:val="single"/>
          <w:lang w:val="en-US"/>
        </w:rPr>
      </w:pPr>
      <w:r>
        <w:rPr>
          <w:rFonts w:hint="eastAsia"/>
          <w:sz w:val="24"/>
          <w:szCs w:val="32"/>
          <w:lang w:val="en-US" w:eastAsia="zh-CN"/>
        </w:rPr>
        <w:t>致：</w:t>
      </w:r>
      <w:r>
        <w:rPr>
          <w:rFonts w:hint="eastAsia"/>
          <w:sz w:val="24"/>
          <w:szCs w:val="32"/>
          <w:u w:val="single"/>
          <w:lang w:val="en-US" w:eastAsia="zh-CN"/>
        </w:rPr>
        <w:t xml:space="preserve"> 福建省工业设备安装有限公司 </w:t>
      </w:r>
    </w:p>
    <w:p w14:paraId="5FA1FE14">
      <w:pPr>
        <w:pageBreakBefore w:val="0"/>
        <w:widowControl w:val="0"/>
        <w:kinsoku/>
        <w:wordWrap/>
        <w:overflowPunct/>
        <w:topLinePunct w:val="0"/>
        <w:autoSpaceDE/>
        <w:autoSpaceDN/>
        <w:bidi w:val="0"/>
        <w:adjustRightInd/>
        <w:snapToGrid/>
        <w:spacing w:line="360" w:lineRule="auto"/>
        <w:ind w:left="0" w:firstLine="0" w:firstLineChars="0"/>
        <w:jc w:val="left"/>
        <w:textAlignment w:val="auto"/>
        <w:outlineLvl w:val="9"/>
        <w:rPr>
          <w:rFonts w:hint="eastAsia" w:asciiTheme="minorEastAsia" w:hAnsiTheme="minorEastAsia" w:eastAsiaTheme="minorEastAsia" w:cstheme="minorEastAsia"/>
          <w:color w:val="000000"/>
          <w:sz w:val="24"/>
          <w:szCs w:val="24"/>
          <w:highlight w:val="none"/>
        </w:rPr>
      </w:pPr>
    </w:p>
    <w:p w14:paraId="48115534">
      <w:pPr>
        <w:pageBreakBefore w:val="0"/>
        <w:widowControl w:val="0"/>
        <w:numPr>
          <w:ilvl w:val="0"/>
          <w:numId w:val="0"/>
        </w:numPr>
        <w:tabs>
          <w:tab w:val="left" w:pos="860"/>
          <w:tab w:val="left" w:pos="1075"/>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Theme="minorEastAsia" w:hAnsiTheme="minorEastAsia" w:eastAsiaTheme="minorEastAsia" w:cstheme="minorEastAsia"/>
          <w:color w:val="000000"/>
          <w:sz w:val="24"/>
          <w:szCs w:val="24"/>
          <w:highlight w:val="none"/>
        </w:rPr>
      </w:pPr>
      <w:r>
        <w:rPr>
          <w:rFonts w:hint="default" w:ascii="Times New Roman" w:hAnsi="Times New Roman" w:eastAsiaTheme="minorEastAsia" w:cstheme="minorEastAsia"/>
          <w:b w:val="0"/>
          <w:i w:val="0"/>
          <w:color w:val="000000"/>
          <w:kern w:val="2"/>
          <w:sz w:val="24"/>
          <w:szCs w:val="24"/>
          <w:lang w:val="en-US" w:eastAsia="zh-CN" w:bidi="ar-SA"/>
        </w:rPr>
        <w:t>1、</w:t>
      </w:r>
      <w:r>
        <w:rPr>
          <w:rFonts w:hint="eastAsia" w:asciiTheme="minorEastAsia" w:hAnsiTheme="minorEastAsia" w:eastAsiaTheme="minorEastAsia" w:cstheme="minorEastAsia"/>
          <w:color w:val="000000"/>
          <w:sz w:val="24"/>
          <w:szCs w:val="24"/>
          <w:highlight w:val="none"/>
        </w:rPr>
        <w:t>经考察现场和全面研究了</w:t>
      </w:r>
      <w:r>
        <w:rPr>
          <w:rFonts w:hint="eastAsia" w:asciiTheme="minorEastAsia" w:hAnsiTheme="minorEastAsia" w:eastAsiaTheme="minorEastAsia" w:cstheme="minorEastAsia"/>
          <w:color w:val="000000"/>
          <w:sz w:val="24"/>
          <w:szCs w:val="24"/>
          <w:highlight w:val="none"/>
          <w:u w:val="single" w:color="auto"/>
          <w:lang w:val="en-US" w:eastAsia="zh-CN"/>
        </w:rPr>
        <w:t xml:space="preserve">  </w:t>
      </w:r>
      <w:permStart w:id="22" w:edGrp="everyone"/>
      <w:r>
        <w:rPr>
          <w:rFonts w:hint="eastAsia" w:asciiTheme="minorEastAsia" w:hAnsiTheme="minorEastAsia" w:eastAsiaTheme="minorEastAsia" w:cstheme="minorEastAsia"/>
          <w:color w:val="000000"/>
          <w:sz w:val="24"/>
          <w:szCs w:val="24"/>
          <w:highlight w:val="none"/>
          <w:u w:val="single" w:color="auto"/>
          <w:lang w:val="en-US" w:eastAsia="zh-CN"/>
        </w:rPr>
        <w:t>浙石化2025炼油芳烃事业部大修(1#气提、2#硫磺、4#硫磺)项目隐患消缺中补焊及管道技改等施工内容</w:t>
      </w:r>
      <w:permEnd w:id="22"/>
      <w:r>
        <w:rPr>
          <w:rFonts w:hint="eastAsia" w:asciiTheme="minorEastAsia" w:hAnsiTheme="minorEastAsia" w:eastAsiaTheme="minorEastAsia" w:cstheme="minorEastAsia"/>
          <w:color w:val="000000"/>
          <w:sz w:val="24"/>
          <w:szCs w:val="24"/>
          <w:highlight w:val="none"/>
        </w:rPr>
        <w:t>招标文件后，我方的投标总造价为人民币</w:t>
      </w:r>
      <w:r>
        <w:rPr>
          <w:rFonts w:hint="eastAsia" w:asciiTheme="minorEastAsia" w:hAnsiTheme="minorEastAsia" w:eastAsiaTheme="minorEastAsia" w:cstheme="minorEastAsia"/>
          <w:color w:val="000000"/>
          <w:sz w:val="24"/>
          <w:szCs w:val="24"/>
          <w:highlight w:val="none"/>
          <w:u w:val="single"/>
        </w:rPr>
        <w:t xml:space="preserve">  </w:t>
      </w:r>
      <w:permStart w:id="23" w:edGrp="everyone"/>
      <w:r>
        <w:rPr>
          <w:rFonts w:hint="eastAsia" w:asciiTheme="minorEastAsia" w:hAnsiTheme="minorEastAsia" w:eastAsiaTheme="minorEastAsia" w:cstheme="minorEastAsia"/>
          <w:color w:val="000000"/>
          <w:sz w:val="24"/>
          <w:szCs w:val="24"/>
          <w:highlight w:val="none"/>
          <w:u w:val="single"/>
        </w:rPr>
        <w:t xml:space="preserve">         </w:t>
      </w:r>
      <w:permEnd w:id="23"/>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rPr>
        <w:t>元。以</w:t>
      </w:r>
      <w:r>
        <w:rPr>
          <w:rFonts w:hint="eastAsia" w:asciiTheme="minorEastAsia" w:hAnsiTheme="minorEastAsia" w:eastAsiaTheme="minorEastAsia" w:cstheme="minorEastAsia"/>
          <w:color w:val="000000"/>
          <w:sz w:val="24"/>
          <w:szCs w:val="24"/>
          <w:highlight w:val="none"/>
          <w:u w:val="single"/>
          <w:lang w:val="en-US" w:eastAsia="zh-CN"/>
        </w:rPr>
        <w:t xml:space="preserve"> </w:t>
      </w:r>
      <w:permStart w:id="24" w:edGrp="everyone"/>
      <w:r>
        <w:rPr>
          <w:rFonts w:hint="eastAsia" w:asciiTheme="minorEastAsia" w:hAnsiTheme="minorEastAsia" w:eastAsiaTheme="minorEastAsia" w:cstheme="minorEastAsia"/>
          <w:b/>
          <w:bCs/>
          <w:color w:val="000000"/>
          <w:sz w:val="24"/>
          <w:szCs w:val="24"/>
          <w:highlight w:val="none"/>
          <w:u w:val="single"/>
        </w:rPr>
        <w:t>固定</w:t>
      </w:r>
      <w:r>
        <w:rPr>
          <w:rFonts w:hint="eastAsia" w:asciiTheme="minorEastAsia" w:hAnsiTheme="minorEastAsia" w:eastAsiaTheme="minorEastAsia" w:cstheme="minorEastAsia"/>
          <w:b/>
          <w:bCs/>
          <w:color w:val="000000"/>
          <w:sz w:val="24"/>
          <w:szCs w:val="24"/>
          <w:highlight w:val="none"/>
          <w:u w:val="single"/>
          <w:lang w:val="en-US" w:eastAsia="zh-CN"/>
        </w:rPr>
        <w:t>单价</w:t>
      </w:r>
      <w:permEnd w:id="24"/>
      <w:r>
        <w:rPr>
          <w:rFonts w:hint="eastAsia" w:asciiTheme="minorEastAsia" w:hAnsiTheme="minorEastAsia" w:eastAsiaTheme="minorEastAsia" w:cstheme="minorEastAsia"/>
          <w:b/>
          <w:bCs/>
          <w:color w:val="000000"/>
          <w:sz w:val="24"/>
          <w:szCs w:val="24"/>
          <w:highlight w:val="none"/>
          <w:u w:val="single"/>
          <w:lang w:val="en-US" w:eastAsia="zh-CN"/>
        </w:rPr>
        <w:t xml:space="preserve"> </w:t>
      </w:r>
      <w:r>
        <w:rPr>
          <w:rFonts w:hint="eastAsia" w:asciiTheme="minorEastAsia" w:hAnsiTheme="minorEastAsia" w:eastAsiaTheme="minorEastAsia" w:cstheme="minorEastAsia"/>
          <w:color w:val="000000"/>
          <w:sz w:val="24"/>
          <w:szCs w:val="24"/>
          <w:highlight w:val="none"/>
        </w:rPr>
        <w:t>承包上述工程施工、完工和修补缺陷。</w:t>
      </w:r>
    </w:p>
    <w:p w14:paraId="1646DEBC">
      <w:pPr>
        <w:pageBreakBefore w:val="0"/>
        <w:widowControl w:val="0"/>
        <w:numPr>
          <w:ilvl w:val="0"/>
          <w:numId w:val="0"/>
        </w:numPr>
        <w:tabs>
          <w:tab w:val="left" w:pos="860"/>
          <w:tab w:val="left" w:pos="1075"/>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Theme="minorEastAsia" w:hAnsiTheme="minorEastAsia" w:eastAsiaTheme="minorEastAsia" w:cstheme="minorEastAsia"/>
          <w:color w:val="000000"/>
          <w:sz w:val="24"/>
          <w:szCs w:val="24"/>
          <w:highlight w:val="none"/>
        </w:rPr>
      </w:pPr>
      <w:r>
        <w:rPr>
          <w:rFonts w:hint="default" w:ascii="Times New Roman" w:hAnsi="Times New Roman" w:eastAsiaTheme="minorEastAsia" w:cstheme="minorEastAsia"/>
          <w:b w:val="0"/>
          <w:i w:val="0"/>
          <w:color w:val="000000"/>
          <w:kern w:val="2"/>
          <w:sz w:val="24"/>
          <w:szCs w:val="24"/>
          <w:lang w:val="en-US" w:eastAsia="zh-CN" w:bidi="ar-SA"/>
        </w:rPr>
        <w:t>2、</w:t>
      </w:r>
      <w:r>
        <w:rPr>
          <w:rFonts w:hint="eastAsia" w:asciiTheme="minorEastAsia" w:hAnsiTheme="minorEastAsia" w:eastAsiaTheme="minorEastAsia" w:cstheme="minorEastAsia"/>
          <w:color w:val="000000"/>
          <w:sz w:val="24"/>
          <w:szCs w:val="24"/>
          <w:highlight w:val="none"/>
        </w:rPr>
        <w:t>一旦我方中标，我方保证</w:t>
      </w:r>
      <w:r>
        <w:rPr>
          <w:rFonts w:hint="eastAsia" w:asciiTheme="minorEastAsia" w:hAnsiTheme="minorEastAsia" w:eastAsiaTheme="minorEastAsia" w:cstheme="minorEastAsia"/>
          <w:color w:val="000000"/>
          <w:sz w:val="24"/>
          <w:szCs w:val="24"/>
          <w:highlight w:val="none"/>
          <w:lang w:eastAsia="zh-CN"/>
        </w:rPr>
        <w:t>招标人</w:t>
      </w:r>
      <w:r>
        <w:rPr>
          <w:rFonts w:hint="eastAsia" w:asciiTheme="minorEastAsia" w:hAnsiTheme="minorEastAsia" w:eastAsiaTheme="minorEastAsia" w:cstheme="minorEastAsia"/>
          <w:color w:val="000000"/>
          <w:sz w:val="24"/>
          <w:szCs w:val="24"/>
          <w:highlight w:val="none"/>
        </w:rPr>
        <w:t>按照招标文件和</w:t>
      </w:r>
      <w:r>
        <w:rPr>
          <w:rFonts w:hint="eastAsia" w:asciiTheme="minorEastAsia" w:hAnsiTheme="minorEastAsia" w:eastAsiaTheme="minorEastAsia" w:cstheme="minorEastAsia"/>
          <w:color w:val="000000"/>
          <w:sz w:val="24"/>
          <w:szCs w:val="24"/>
          <w:highlight w:val="none"/>
          <w:lang w:eastAsia="zh-CN"/>
        </w:rPr>
        <w:t>招标人</w:t>
      </w:r>
      <w:r>
        <w:rPr>
          <w:rFonts w:hint="eastAsia" w:asciiTheme="minorEastAsia" w:hAnsiTheme="minorEastAsia" w:eastAsiaTheme="minorEastAsia" w:cstheme="minorEastAsia"/>
          <w:color w:val="000000"/>
          <w:sz w:val="24"/>
          <w:szCs w:val="24"/>
          <w:highlight w:val="none"/>
        </w:rPr>
        <w:t>要求在</w:t>
      </w:r>
      <w:r>
        <w:rPr>
          <w:rFonts w:hint="eastAsia" w:asciiTheme="minorEastAsia" w:hAnsiTheme="minorEastAsia" w:eastAsiaTheme="minorEastAsia" w:cstheme="minorEastAsia"/>
          <w:color w:val="000000"/>
          <w:sz w:val="24"/>
          <w:szCs w:val="24"/>
          <w:highlight w:val="none"/>
          <w:lang w:val="en-US" w:eastAsia="zh-CN"/>
        </w:rPr>
        <w:t>合同约定</w:t>
      </w:r>
      <w:r>
        <w:rPr>
          <w:rFonts w:hint="eastAsia" w:asciiTheme="minorEastAsia" w:hAnsiTheme="minorEastAsia" w:eastAsiaTheme="minorEastAsia" w:cstheme="minorEastAsia"/>
          <w:color w:val="000000"/>
          <w:sz w:val="24"/>
          <w:szCs w:val="24"/>
          <w:highlight w:val="none"/>
        </w:rPr>
        <w:t>日历天内全面建成整个工程，质量等级达到</w:t>
      </w:r>
      <w:r>
        <w:rPr>
          <w:rFonts w:hint="eastAsia" w:asciiTheme="minorEastAsia" w:hAnsiTheme="minorEastAsia" w:eastAsiaTheme="minorEastAsia" w:cstheme="minorEastAsia"/>
          <w:color w:val="000000"/>
          <w:sz w:val="24"/>
          <w:szCs w:val="24"/>
          <w:highlight w:val="none"/>
          <w:u w:val="single"/>
        </w:rPr>
        <w:t xml:space="preserve">   </w:t>
      </w:r>
      <w:permStart w:id="25" w:edGrp="everyone"/>
      <w:r>
        <w:rPr>
          <w:rFonts w:hint="eastAsia" w:asciiTheme="minorEastAsia" w:hAnsiTheme="minorEastAsia" w:eastAsiaTheme="minorEastAsia" w:cstheme="minorEastAsia"/>
          <w:color w:val="000000"/>
          <w:sz w:val="24"/>
          <w:szCs w:val="24"/>
          <w:highlight w:val="none"/>
          <w:u w:val="single"/>
          <w:lang w:val="en-US" w:eastAsia="zh-CN"/>
        </w:rPr>
        <w:t>合格</w:t>
      </w:r>
      <w:r>
        <w:rPr>
          <w:rFonts w:hint="eastAsia" w:asciiTheme="minorEastAsia" w:hAnsiTheme="minorEastAsia" w:eastAsiaTheme="minorEastAsia" w:cstheme="minorEastAsia"/>
          <w:color w:val="000000"/>
          <w:sz w:val="24"/>
          <w:szCs w:val="24"/>
          <w:highlight w:val="none"/>
          <w:u w:val="single"/>
        </w:rPr>
        <w:t xml:space="preserve"> </w:t>
      </w:r>
      <w:permEnd w:id="25"/>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rPr>
        <w:t>。</w:t>
      </w:r>
    </w:p>
    <w:p w14:paraId="23867EEB">
      <w:pPr>
        <w:pageBreakBefore w:val="0"/>
        <w:widowControl w:val="0"/>
        <w:numPr>
          <w:ilvl w:val="0"/>
          <w:numId w:val="0"/>
        </w:numPr>
        <w:tabs>
          <w:tab w:val="left" w:pos="860"/>
          <w:tab w:val="left" w:pos="1075"/>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Theme="minorEastAsia" w:hAnsiTheme="minorEastAsia" w:eastAsiaTheme="minorEastAsia" w:cstheme="minorEastAsia"/>
          <w:color w:val="000000"/>
          <w:sz w:val="24"/>
          <w:szCs w:val="24"/>
          <w:highlight w:val="none"/>
        </w:rPr>
      </w:pPr>
      <w:r>
        <w:rPr>
          <w:rFonts w:hint="default" w:ascii="Times New Roman" w:hAnsi="Times New Roman" w:eastAsiaTheme="minorEastAsia" w:cstheme="minorEastAsia"/>
          <w:b w:val="0"/>
          <w:i w:val="0"/>
          <w:color w:val="000000"/>
          <w:kern w:val="2"/>
          <w:sz w:val="24"/>
          <w:szCs w:val="24"/>
          <w:lang w:val="en-US" w:eastAsia="zh-CN" w:bidi="ar-SA"/>
        </w:rPr>
        <w:t>3、</w:t>
      </w:r>
      <w:r>
        <w:rPr>
          <w:rFonts w:hint="eastAsia" w:asciiTheme="minorEastAsia" w:hAnsiTheme="minorEastAsia" w:eastAsiaTheme="minorEastAsia" w:cstheme="minorEastAsia"/>
          <w:color w:val="000000"/>
          <w:sz w:val="24"/>
          <w:szCs w:val="24"/>
          <w:highlight w:val="none"/>
        </w:rPr>
        <w:t>除非另外达成协议并生效，本投标书将构成约束我们双方的合同。</w:t>
      </w:r>
    </w:p>
    <w:p w14:paraId="75DE5864">
      <w:pPr>
        <w:pageBreakBefore w:val="0"/>
        <w:widowControl w:val="0"/>
        <w:numPr>
          <w:ilvl w:val="0"/>
          <w:numId w:val="0"/>
        </w:numPr>
        <w:tabs>
          <w:tab w:val="left" w:pos="860"/>
          <w:tab w:val="left" w:pos="1075"/>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Theme="minorEastAsia" w:hAnsiTheme="minorEastAsia" w:eastAsiaTheme="minorEastAsia" w:cstheme="minorEastAsia"/>
          <w:color w:val="000000"/>
          <w:sz w:val="24"/>
          <w:szCs w:val="24"/>
          <w:highlight w:val="none"/>
        </w:rPr>
      </w:pPr>
      <w:r>
        <w:rPr>
          <w:rFonts w:hint="default" w:ascii="Times New Roman" w:hAnsi="Times New Roman" w:eastAsiaTheme="minorEastAsia" w:cstheme="minorEastAsia"/>
          <w:b w:val="0"/>
          <w:i w:val="0"/>
          <w:color w:val="000000"/>
          <w:kern w:val="2"/>
          <w:sz w:val="24"/>
          <w:szCs w:val="24"/>
          <w:lang w:val="en-US" w:eastAsia="zh-CN" w:bidi="ar-SA"/>
        </w:rPr>
        <w:t>4、</w:t>
      </w:r>
      <w:r>
        <w:rPr>
          <w:rFonts w:hint="eastAsia" w:asciiTheme="minorEastAsia" w:hAnsiTheme="minorEastAsia" w:eastAsiaTheme="minorEastAsia" w:cstheme="minorEastAsia"/>
          <w:color w:val="000000"/>
          <w:sz w:val="24"/>
          <w:szCs w:val="24"/>
          <w:highlight w:val="none"/>
        </w:rPr>
        <w:t>我方理解：你方不一定授标给最低报价的投标或收到的某一投标。</w:t>
      </w:r>
    </w:p>
    <w:p w14:paraId="29376A86">
      <w:pPr>
        <w:pageBreakBefore w:val="0"/>
        <w:widowControl w:val="0"/>
        <w:tabs>
          <w:tab w:val="left" w:pos="860"/>
          <w:tab w:val="left" w:pos="1075"/>
        </w:tabs>
        <w:kinsoku/>
        <w:wordWrap/>
        <w:overflowPunct/>
        <w:topLinePunct w:val="0"/>
        <w:autoSpaceDE/>
        <w:autoSpaceDN/>
        <w:bidi w:val="0"/>
        <w:adjustRightInd/>
        <w:snapToGrid/>
        <w:spacing w:line="360" w:lineRule="auto"/>
        <w:ind w:left="0" w:firstLine="0" w:firstLineChars="0"/>
        <w:jc w:val="left"/>
        <w:textAlignment w:val="auto"/>
        <w:outlineLvl w:val="9"/>
        <w:rPr>
          <w:rFonts w:hint="eastAsia" w:asciiTheme="minorEastAsia" w:hAnsiTheme="minorEastAsia" w:eastAsiaTheme="minorEastAsia" w:cstheme="minorEastAsia"/>
          <w:color w:val="000000"/>
          <w:sz w:val="24"/>
          <w:szCs w:val="24"/>
          <w:highlight w:val="none"/>
        </w:rPr>
      </w:pPr>
    </w:p>
    <w:p w14:paraId="0F998C45">
      <w:pPr>
        <w:pageBreakBefore w:val="0"/>
        <w:widowControl w:val="0"/>
        <w:tabs>
          <w:tab w:val="left" w:pos="860"/>
          <w:tab w:val="left" w:pos="1075"/>
        </w:tabs>
        <w:kinsoku/>
        <w:wordWrap/>
        <w:overflowPunct/>
        <w:topLinePunct w:val="0"/>
        <w:autoSpaceDE/>
        <w:autoSpaceDN/>
        <w:bidi w:val="0"/>
        <w:adjustRightInd/>
        <w:snapToGrid/>
        <w:spacing w:line="360" w:lineRule="auto"/>
        <w:ind w:left="0" w:firstLine="0" w:firstLineChars="0"/>
        <w:jc w:val="left"/>
        <w:textAlignment w:val="auto"/>
        <w:outlineLvl w:val="9"/>
        <w:rPr>
          <w:rFonts w:hint="eastAsia" w:asciiTheme="minorEastAsia" w:hAnsiTheme="minorEastAsia" w:eastAsiaTheme="minorEastAsia" w:cstheme="minorEastAsia"/>
          <w:color w:val="000000"/>
          <w:sz w:val="24"/>
          <w:szCs w:val="24"/>
          <w:highlight w:val="none"/>
        </w:rPr>
      </w:pPr>
    </w:p>
    <w:p w14:paraId="2E8EFA4E">
      <w:pPr>
        <w:pageBreakBefore w:val="0"/>
        <w:widowControl w:val="0"/>
        <w:tabs>
          <w:tab w:val="left" w:pos="860"/>
          <w:tab w:val="left" w:pos="1075"/>
        </w:tabs>
        <w:kinsoku/>
        <w:wordWrap/>
        <w:overflowPunct/>
        <w:topLinePunct w:val="0"/>
        <w:autoSpaceDE/>
        <w:autoSpaceDN/>
        <w:bidi w:val="0"/>
        <w:adjustRightInd/>
        <w:snapToGrid/>
        <w:spacing w:line="360" w:lineRule="auto"/>
        <w:ind w:left="0" w:firstLine="0" w:firstLineChars="0"/>
        <w:jc w:val="left"/>
        <w:textAlignment w:val="auto"/>
        <w:outlineLvl w:val="9"/>
        <w:rPr>
          <w:rFonts w:hint="eastAsia" w:asciiTheme="minorEastAsia" w:hAnsiTheme="minorEastAsia" w:eastAsiaTheme="minorEastAsia" w:cstheme="minorEastAsia"/>
          <w:color w:val="000000"/>
          <w:sz w:val="24"/>
          <w:szCs w:val="24"/>
          <w:highlight w:val="none"/>
        </w:rPr>
      </w:pPr>
    </w:p>
    <w:p w14:paraId="11C3B273">
      <w:pPr>
        <w:pageBreakBefore w:val="0"/>
        <w:widowControl w:val="0"/>
        <w:tabs>
          <w:tab w:val="left" w:pos="860"/>
          <w:tab w:val="left" w:pos="1075"/>
        </w:tabs>
        <w:kinsoku/>
        <w:wordWrap/>
        <w:overflowPunct/>
        <w:topLinePunct w:val="0"/>
        <w:autoSpaceDE/>
        <w:autoSpaceDN/>
        <w:bidi w:val="0"/>
        <w:adjustRightInd/>
        <w:snapToGrid/>
        <w:spacing w:line="360" w:lineRule="auto"/>
        <w:ind w:left="0" w:firstLine="0" w:firstLineChars="0"/>
        <w:jc w:val="left"/>
        <w:textAlignment w:val="auto"/>
        <w:outlineLvl w:val="9"/>
        <w:rPr>
          <w:rFonts w:hint="eastAsia" w:asciiTheme="minorEastAsia" w:hAnsiTheme="minorEastAsia" w:eastAsiaTheme="minorEastAsia" w:cstheme="minorEastAsia"/>
          <w:color w:val="000000"/>
          <w:sz w:val="24"/>
          <w:szCs w:val="24"/>
          <w:highlight w:val="none"/>
        </w:rPr>
      </w:pPr>
    </w:p>
    <w:p w14:paraId="2716D48B">
      <w:pPr>
        <w:pageBreakBefore w:val="0"/>
        <w:widowControl w:val="0"/>
        <w:tabs>
          <w:tab w:val="left" w:pos="860"/>
          <w:tab w:val="left" w:pos="1075"/>
        </w:tabs>
        <w:kinsoku/>
        <w:wordWrap/>
        <w:overflowPunct/>
        <w:topLinePunct w:val="0"/>
        <w:autoSpaceDE/>
        <w:autoSpaceDN/>
        <w:bidi w:val="0"/>
        <w:adjustRightInd/>
        <w:snapToGrid/>
        <w:spacing w:line="360" w:lineRule="auto"/>
        <w:ind w:left="0" w:firstLine="0" w:firstLineChars="0"/>
        <w:jc w:val="left"/>
        <w:textAlignment w:val="auto"/>
        <w:outlineLvl w:val="9"/>
        <w:rPr>
          <w:rFonts w:hint="default"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rPr>
        <w:t xml:space="preserve">                       </w:t>
      </w:r>
      <w:r>
        <w:rPr>
          <w:rFonts w:hint="eastAsia" w:asciiTheme="minorEastAsia" w:hAnsiTheme="minorEastAsia" w:eastAsiaTheme="minorEastAsia" w:cstheme="minorEastAsia"/>
          <w:color w:val="000000"/>
          <w:sz w:val="24"/>
          <w:szCs w:val="24"/>
          <w:highlight w:val="none"/>
          <w:lang w:val="en-US" w:eastAsia="zh-CN"/>
        </w:rPr>
        <w:t xml:space="preserve">  </w:t>
      </w:r>
      <w:r>
        <w:rPr>
          <w:rFonts w:hint="eastAsia" w:asciiTheme="minorEastAsia" w:hAnsiTheme="minorEastAsia" w:eastAsiaTheme="minorEastAsia" w:cstheme="minorEastAsia"/>
          <w:color w:val="000000"/>
          <w:sz w:val="24"/>
          <w:szCs w:val="24"/>
          <w:highlight w:val="none"/>
        </w:rPr>
        <w:t xml:space="preserve"> </w:t>
      </w:r>
      <w:r>
        <w:rPr>
          <w:rFonts w:hint="eastAsia" w:asciiTheme="minorEastAsia" w:hAnsiTheme="minorEastAsia" w:eastAsiaTheme="minorEastAsia" w:cstheme="minorEastAsia"/>
          <w:color w:val="000000"/>
          <w:sz w:val="24"/>
          <w:szCs w:val="24"/>
          <w:highlight w:val="none"/>
          <w:lang w:eastAsia="zh-CN"/>
        </w:rPr>
        <w:t>投标</w:t>
      </w:r>
      <w:r>
        <w:rPr>
          <w:rFonts w:hint="eastAsia" w:asciiTheme="minorEastAsia" w:hAnsiTheme="minorEastAsia" w:eastAsiaTheme="minorEastAsia" w:cstheme="minorEastAsia"/>
          <w:color w:val="000000"/>
          <w:sz w:val="24"/>
          <w:szCs w:val="24"/>
          <w:highlight w:val="none"/>
          <w:lang w:val="en-US" w:eastAsia="zh-CN"/>
        </w:rPr>
        <w:t>单位</w:t>
      </w:r>
      <w:r>
        <w:rPr>
          <w:rFonts w:hint="eastAsia" w:asciiTheme="minorEastAsia" w:hAnsiTheme="minorEastAsia" w:eastAsiaTheme="minorEastAsia" w:cstheme="minorEastAsia"/>
          <w:color w:val="000000"/>
          <w:sz w:val="24"/>
          <w:szCs w:val="24"/>
          <w:highlight w:val="none"/>
        </w:rPr>
        <w:t>：</w:t>
      </w: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lang w:val="en-US" w:eastAsia="zh-CN"/>
        </w:rPr>
        <w:t>签章）</w:t>
      </w:r>
    </w:p>
    <w:p w14:paraId="5AD5848D">
      <w:pPr>
        <w:pageBreakBefore w:val="0"/>
        <w:widowControl w:val="0"/>
        <w:tabs>
          <w:tab w:val="left" w:pos="860"/>
          <w:tab w:val="left" w:pos="1075"/>
        </w:tabs>
        <w:kinsoku/>
        <w:wordWrap/>
        <w:overflowPunct/>
        <w:topLinePunct w:val="0"/>
        <w:autoSpaceDE/>
        <w:autoSpaceDN/>
        <w:bidi w:val="0"/>
        <w:adjustRightInd/>
        <w:snapToGrid/>
        <w:spacing w:line="360" w:lineRule="auto"/>
        <w:ind w:left="0" w:firstLine="0" w:firstLineChars="0"/>
        <w:jc w:val="left"/>
        <w:textAlignment w:val="auto"/>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                   </w:t>
      </w:r>
    </w:p>
    <w:p w14:paraId="0A9ECB5B">
      <w:pPr>
        <w:pageBreakBefore w:val="0"/>
        <w:widowControl w:val="0"/>
        <w:tabs>
          <w:tab w:val="left" w:pos="860"/>
          <w:tab w:val="left" w:pos="1075"/>
        </w:tabs>
        <w:kinsoku/>
        <w:wordWrap/>
        <w:overflowPunct/>
        <w:topLinePunct w:val="0"/>
        <w:autoSpaceDE/>
        <w:autoSpaceDN/>
        <w:bidi w:val="0"/>
        <w:adjustRightInd/>
        <w:snapToGrid/>
        <w:spacing w:line="360" w:lineRule="auto"/>
        <w:ind w:left="0" w:firstLine="0" w:firstLineChars="0"/>
        <w:jc w:val="left"/>
        <w:textAlignment w:val="auto"/>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                  </w:t>
      </w:r>
    </w:p>
    <w:p w14:paraId="42FE618A">
      <w:pPr>
        <w:pageBreakBefore w:val="0"/>
        <w:widowControl w:val="0"/>
        <w:tabs>
          <w:tab w:val="left" w:pos="860"/>
          <w:tab w:val="left" w:pos="1075"/>
        </w:tabs>
        <w:kinsoku/>
        <w:wordWrap/>
        <w:overflowPunct/>
        <w:topLinePunct w:val="0"/>
        <w:autoSpaceDE/>
        <w:autoSpaceDN/>
        <w:bidi w:val="0"/>
        <w:adjustRightInd/>
        <w:snapToGrid/>
        <w:spacing w:line="360" w:lineRule="auto"/>
        <w:ind w:left="0" w:firstLine="0" w:firstLineChars="0"/>
        <w:jc w:val="left"/>
        <w:textAlignment w:val="auto"/>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                        </w:t>
      </w:r>
      <w:r>
        <w:rPr>
          <w:rFonts w:hint="eastAsia" w:asciiTheme="minorEastAsia" w:hAnsiTheme="minorEastAsia" w:eastAsiaTheme="minorEastAsia" w:cstheme="minorEastAsia"/>
          <w:color w:val="000000"/>
          <w:sz w:val="24"/>
          <w:szCs w:val="24"/>
          <w:highlight w:val="none"/>
          <w:lang w:val="en-US" w:eastAsia="zh-CN"/>
        </w:rPr>
        <w:t xml:space="preserve">  </w:t>
      </w:r>
      <w:r>
        <w:rPr>
          <w:rFonts w:hint="eastAsia" w:asciiTheme="minorEastAsia" w:hAnsiTheme="minorEastAsia" w:eastAsiaTheme="minorEastAsia" w:cstheme="minorEastAsia"/>
          <w:color w:val="000000"/>
          <w:sz w:val="24"/>
          <w:szCs w:val="24"/>
          <w:highlight w:val="none"/>
        </w:rPr>
        <w:t>日期：    年    月   日</w:t>
      </w:r>
    </w:p>
    <w:p w14:paraId="4FAED1B8">
      <w:pPr>
        <w:pageBreakBefore w:val="0"/>
        <w:widowControl w:val="0"/>
        <w:tabs>
          <w:tab w:val="left" w:pos="860"/>
          <w:tab w:val="left" w:pos="1075"/>
        </w:tabs>
        <w:kinsoku/>
        <w:wordWrap/>
        <w:overflowPunct/>
        <w:topLinePunct w:val="0"/>
        <w:autoSpaceDE/>
        <w:autoSpaceDN/>
        <w:bidi w:val="0"/>
        <w:adjustRightInd/>
        <w:snapToGrid/>
        <w:spacing w:line="360" w:lineRule="auto"/>
        <w:ind w:left="0" w:firstLine="0" w:firstLineChars="0"/>
        <w:jc w:val="left"/>
        <w:textAlignment w:val="auto"/>
        <w:outlineLvl w:val="9"/>
        <w:rPr>
          <w:rFonts w:hint="eastAsia" w:asciiTheme="minorEastAsia" w:hAnsiTheme="minorEastAsia" w:eastAsiaTheme="minorEastAsia" w:cstheme="minorEastAsia"/>
          <w:color w:val="000000"/>
          <w:sz w:val="24"/>
          <w:szCs w:val="24"/>
          <w:highlight w:val="none"/>
        </w:rPr>
      </w:pPr>
    </w:p>
    <w:p w14:paraId="6DB34750">
      <w:pPr>
        <w:pageBreakBefore w:val="0"/>
        <w:widowControl w:val="0"/>
        <w:tabs>
          <w:tab w:val="left" w:pos="860"/>
          <w:tab w:val="left" w:pos="1075"/>
        </w:tabs>
        <w:kinsoku/>
        <w:wordWrap/>
        <w:overflowPunct/>
        <w:topLinePunct w:val="0"/>
        <w:autoSpaceDE/>
        <w:autoSpaceDN/>
        <w:bidi w:val="0"/>
        <w:adjustRightInd/>
        <w:snapToGrid/>
        <w:spacing w:line="360" w:lineRule="auto"/>
        <w:ind w:left="0" w:firstLine="0" w:firstLineChars="0"/>
        <w:jc w:val="left"/>
        <w:textAlignment w:val="auto"/>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                    </w:t>
      </w:r>
    </w:p>
    <w:p w14:paraId="7A6C2F59">
      <w:pPr>
        <w:pageBreakBefore w:val="0"/>
        <w:widowControl w:val="0"/>
        <w:tabs>
          <w:tab w:val="left" w:pos="860"/>
          <w:tab w:val="left" w:pos="1075"/>
        </w:tabs>
        <w:kinsoku/>
        <w:wordWrap/>
        <w:overflowPunct/>
        <w:topLinePunct w:val="0"/>
        <w:autoSpaceDE/>
        <w:autoSpaceDN/>
        <w:bidi w:val="0"/>
        <w:adjustRightInd/>
        <w:snapToGrid/>
        <w:spacing w:line="360" w:lineRule="auto"/>
        <w:ind w:left="0" w:firstLine="0" w:firstLineChars="0"/>
        <w:jc w:val="left"/>
        <w:textAlignment w:val="auto"/>
        <w:outlineLvl w:val="9"/>
        <w:rPr>
          <w:rFonts w:hint="eastAsia" w:asciiTheme="minorEastAsia" w:hAnsiTheme="minorEastAsia" w:eastAsiaTheme="minorEastAsia" w:cstheme="minorEastAsia"/>
          <w:color w:val="000000"/>
          <w:sz w:val="24"/>
          <w:szCs w:val="24"/>
          <w:highlight w:val="none"/>
        </w:rPr>
      </w:pPr>
    </w:p>
    <w:p w14:paraId="58407684">
      <w:pPr>
        <w:pageBreakBefore w:val="0"/>
        <w:widowControl w:val="0"/>
        <w:tabs>
          <w:tab w:val="left" w:pos="860"/>
          <w:tab w:val="left" w:pos="1075"/>
        </w:tabs>
        <w:kinsoku/>
        <w:wordWrap/>
        <w:overflowPunct/>
        <w:topLinePunct w:val="0"/>
        <w:autoSpaceDE/>
        <w:autoSpaceDN/>
        <w:bidi w:val="0"/>
        <w:adjustRightInd/>
        <w:snapToGrid/>
        <w:spacing w:line="360" w:lineRule="auto"/>
        <w:ind w:left="0" w:firstLine="0" w:firstLineChars="0"/>
        <w:jc w:val="left"/>
        <w:textAlignment w:val="auto"/>
        <w:outlineLvl w:val="9"/>
        <w:rPr>
          <w:rFonts w:hint="eastAsia" w:asciiTheme="minorEastAsia" w:hAnsiTheme="minorEastAsia" w:eastAsiaTheme="minorEastAsia" w:cstheme="minorEastAsia"/>
          <w:color w:val="000000"/>
          <w:sz w:val="24"/>
          <w:szCs w:val="24"/>
          <w:highlight w:val="none"/>
        </w:rPr>
      </w:pPr>
    </w:p>
    <w:p w14:paraId="67FABE84">
      <w:pPr>
        <w:pageBreakBefore w:val="0"/>
        <w:widowControl w:val="0"/>
        <w:tabs>
          <w:tab w:val="left" w:pos="860"/>
          <w:tab w:val="left" w:pos="1075"/>
        </w:tabs>
        <w:kinsoku/>
        <w:wordWrap/>
        <w:overflowPunct/>
        <w:topLinePunct w:val="0"/>
        <w:autoSpaceDE/>
        <w:autoSpaceDN/>
        <w:bidi w:val="0"/>
        <w:adjustRightInd/>
        <w:snapToGrid/>
        <w:spacing w:line="360" w:lineRule="auto"/>
        <w:ind w:left="0" w:firstLine="0" w:firstLineChars="0"/>
        <w:jc w:val="left"/>
        <w:textAlignment w:val="auto"/>
        <w:outlineLvl w:val="9"/>
        <w:rPr>
          <w:rFonts w:hint="eastAsia" w:asciiTheme="minorEastAsia" w:hAnsiTheme="minorEastAsia" w:eastAsiaTheme="minorEastAsia" w:cstheme="minorEastAsia"/>
          <w:color w:val="000000"/>
          <w:sz w:val="24"/>
          <w:szCs w:val="24"/>
          <w:highlight w:val="none"/>
        </w:rPr>
      </w:pPr>
    </w:p>
    <w:p w14:paraId="25BBE2C8">
      <w:pPr>
        <w:pageBreakBefore w:val="0"/>
        <w:widowControl w:val="0"/>
        <w:tabs>
          <w:tab w:val="left" w:pos="860"/>
          <w:tab w:val="left" w:pos="1075"/>
        </w:tabs>
        <w:kinsoku/>
        <w:wordWrap/>
        <w:overflowPunct/>
        <w:topLinePunct w:val="0"/>
        <w:autoSpaceDE/>
        <w:autoSpaceDN/>
        <w:bidi w:val="0"/>
        <w:adjustRightInd/>
        <w:snapToGrid/>
        <w:spacing w:line="360" w:lineRule="auto"/>
        <w:ind w:left="0" w:firstLine="0" w:firstLineChars="0"/>
        <w:jc w:val="left"/>
        <w:textAlignment w:val="auto"/>
        <w:outlineLvl w:val="9"/>
        <w:rPr>
          <w:rFonts w:hint="eastAsia" w:asciiTheme="minorEastAsia" w:hAnsiTheme="minorEastAsia" w:eastAsiaTheme="minorEastAsia" w:cstheme="minorEastAsia"/>
          <w:color w:val="000000"/>
          <w:sz w:val="24"/>
          <w:szCs w:val="24"/>
          <w:highlight w:val="none"/>
        </w:rPr>
      </w:pPr>
    </w:p>
    <w:p w14:paraId="26D33C0B">
      <w:pPr>
        <w:pageBreakBefore w:val="0"/>
        <w:widowControl w:val="0"/>
        <w:tabs>
          <w:tab w:val="left" w:pos="860"/>
          <w:tab w:val="left" w:pos="1075"/>
        </w:tabs>
        <w:kinsoku/>
        <w:wordWrap/>
        <w:overflowPunct/>
        <w:topLinePunct w:val="0"/>
        <w:autoSpaceDE/>
        <w:autoSpaceDN/>
        <w:bidi w:val="0"/>
        <w:adjustRightInd/>
        <w:snapToGrid/>
        <w:spacing w:line="360" w:lineRule="auto"/>
        <w:ind w:left="0" w:firstLine="0" w:firstLineChars="0"/>
        <w:jc w:val="left"/>
        <w:textAlignment w:val="auto"/>
        <w:outlineLvl w:val="9"/>
        <w:rPr>
          <w:rFonts w:hint="eastAsia" w:asciiTheme="minorEastAsia" w:hAnsiTheme="minorEastAsia" w:eastAsiaTheme="minorEastAsia" w:cstheme="minorEastAsia"/>
          <w:color w:val="000000"/>
          <w:sz w:val="24"/>
          <w:szCs w:val="24"/>
          <w:highlight w:val="none"/>
        </w:rPr>
      </w:pPr>
    </w:p>
    <w:p w14:paraId="1ACB14C8">
      <w:pPr>
        <w:pageBreakBefore w:val="0"/>
        <w:widowControl w:val="0"/>
        <w:tabs>
          <w:tab w:val="left" w:pos="860"/>
          <w:tab w:val="left" w:pos="1075"/>
        </w:tabs>
        <w:kinsoku/>
        <w:wordWrap/>
        <w:overflowPunct/>
        <w:topLinePunct w:val="0"/>
        <w:autoSpaceDE/>
        <w:autoSpaceDN/>
        <w:bidi w:val="0"/>
        <w:adjustRightInd/>
        <w:snapToGrid/>
        <w:spacing w:line="360" w:lineRule="auto"/>
        <w:ind w:left="0" w:firstLine="0" w:firstLineChars="0"/>
        <w:jc w:val="left"/>
        <w:textAlignment w:val="auto"/>
        <w:outlineLvl w:val="9"/>
        <w:rPr>
          <w:rFonts w:hint="eastAsia" w:asciiTheme="minorEastAsia" w:hAnsiTheme="minorEastAsia" w:eastAsiaTheme="minorEastAsia" w:cstheme="minorEastAsia"/>
          <w:color w:val="000000"/>
          <w:sz w:val="24"/>
          <w:szCs w:val="24"/>
          <w:highlight w:val="none"/>
        </w:rPr>
        <w:sectPr>
          <w:footerReference r:id="rId3" w:type="default"/>
          <w:pgSz w:w="11907" w:h="16840"/>
          <w:pgMar w:top="1417" w:right="1418" w:bottom="1417" w:left="1418" w:header="850" w:footer="850" w:gutter="0"/>
          <w:pgBorders>
            <w:top w:val="none" w:sz="0" w:space="0"/>
            <w:left w:val="none" w:sz="0" w:space="0"/>
            <w:bottom w:val="none" w:sz="0" w:space="0"/>
            <w:right w:val="none" w:sz="0" w:space="0"/>
          </w:pgBorders>
          <w:pgNumType w:fmt="decimal" w:start="1"/>
          <w:cols w:space="0" w:num="1"/>
          <w:rtlGutter w:val="0"/>
          <w:docGrid w:linePitch="326" w:charSpace="0"/>
        </w:sectPr>
      </w:pPr>
    </w:p>
    <w:p w14:paraId="4F33F119">
      <w:pPr>
        <w:pStyle w:val="6"/>
        <w:keepNext w:val="0"/>
        <w:keepLines w:val="0"/>
        <w:pageBreakBefore w:val="0"/>
        <w:widowControl/>
        <w:kinsoku w:val="0"/>
        <w:wordWrap/>
        <w:overflowPunct/>
        <w:topLinePunct w:val="0"/>
        <w:autoSpaceDE w:val="0"/>
        <w:autoSpaceDN w:val="0"/>
        <w:bidi w:val="0"/>
        <w:adjustRightInd w:val="0"/>
        <w:snapToGrid w:val="0"/>
        <w:spacing w:before="164" w:beforeLines="50" w:after="164" w:afterLines="50" w:line="240" w:lineRule="auto"/>
        <w:ind w:left="0" w:right="0" w:firstLine="0"/>
        <w:textAlignment w:val="baseline"/>
        <w:outlineLvl w:val="1"/>
        <w:rPr>
          <w:rFonts w:hint="default" w:ascii="宋体" w:hAnsi="宋体" w:eastAsia="宋体" w:cs="宋体"/>
          <w:b/>
          <w:bCs/>
          <w:spacing w:val="-11"/>
          <w:sz w:val="28"/>
          <w:szCs w:val="28"/>
          <w:lang w:val="en-US" w:eastAsia="zh-CN"/>
        </w:rPr>
      </w:pPr>
      <w:r>
        <w:rPr>
          <w:rFonts w:hint="eastAsia" w:ascii="宋体" w:hAnsi="宋体" w:eastAsia="宋体" w:cs="宋体"/>
          <w:b/>
          <w:bCs/>
          <w:spacing w:val="-11"/>
          <w:sz w:val="28"/>
          <w:szCs w:val="28"/>
          <w:lang w:val="en-US" w:eastAsia="zh-CN"/>
        </w:rPr>
        <w:t>3.报价清单</w:t>
      </w:r>
    </w:p>
    <w:p w14:paraId="1BE24278">
      <w:pPr>
        <w:keepNext w:val="0"/>
        <w:keepLines w:val="0"/>
        <w:pageBreakBefore w:val="0"/>
        <w:widowControl w:val="0"/>
        <w:kinsoku/>
        <w:wordWrap/>
        <w:overflowPunct/>
        <w:topLinePunct w:val="0"/>
        <w:autoSpaceDE/>
        <w:autoSpaceDN/>
        <w:bidi w:val="0"/>
        <w:adjustRightInd/>
        <w:snapToGrid w:val="0"/>
        <w:spacing w:before="327" w:beforeLines="100" w:line="360" w:lineRule="auto"/>
        <w:ind w:left="0" w:leftChars="0" w:firstLine="482" w:firstLineChars="200"/>
        <w:jc w:val="left"/>
        <w:textAlignment w:val="auto"/>
        <w:outlineLvl w:val="9"/>
        <w:rPr>
          <w:rFonts w:hint="default" w:ascii="宋体" w:hAnsi="宋体" w:eastAsia="宋体"/>
          <w:b/>
          <w:bCs/>
          <w:color w:val="auto"/>
          <w:sz w:val="24"/>
          <w:highlight w:val="none"/>
          <w:lang w:val="en-US" w:eastAsia="zh-CN"/>
        </w:rPr>
      </w:pPr>
      <w:r>
        <w:rPr>
          <w:rFonts w:hint="default" w:ascii="宋体" w:hAnsi="宋体" w:eastAsia="宋体"/>
          <w:b/>
          <w:bCs/>
          <w:color w:val="auto"/>
          <w:sz w:val="24"/>
          <w:highlight w:val="none"/>
          <w:lang w:val="en-US" w:eastAsia="zh-CN"/>
        </w:rPr>
        <w:t>详见附件</w:t>
      </w:r>
      <w:r>
        <w:rPr>
          <w:rFonts w:hint="eastAsia" w:ascii="宋体" w:hAnsi="宋体" w:eastAsia="宋体"/>
          <w:b/>
          <w:bCs/>
          <w:color w:val="auto"/>
          <w:sz w:val="24"/>
          <w:highlight w:val="none"/>
          <w:lang w:val="en-US" w:eastAsia="zh-CN"/>
        </w:rPr>
        <w:t>1</w:t>
      </w:r>
      <w:r>
        <w:rPr>
          <w:rFonts w:hint="default" w:ascii="宋体" w:hAnsi="宋体" w:eastAsia="宋体"/>
          <w:b/>
          <w:bCs/>
          <w:color w:val="auto"/>
          <w:sz w:val="24"/>
          <w:highlight w:val="none"/>
          <w:lang w:val="en-US" w:eastAsia="zh-CN"/>
        </w:rPr>
        <w:t>《</w:t>
      </w:r>
      <w:permStart w:id="26" w:edGrp="everyone"/>
      <w:r>
        <w:rPr>
          <w:rFonts w:hint="eastAsia" w:ascii="宋体" w:hAnsi="宋体"/>
          <w:b/>
          <w:bCs/>
          <w:color w:val="auto"/>
          <w:sz w:val="24"/>
          <w:highlight w:val="none"/>
          <w:lang w:val="en-US" w:eastAsia="zh-CN"/>
        </w:rPr>
        <w:t>浙石化2025炼油芳烃事业部大修(1#气提、2#硫磺、4#硫磺)项目隐患消缺中补焊及管道技改等施工内容</w:t>
      </w:r>
      <w:permEnd w:id="26"/>
      <w:r>
        <w:rPr>
          <w:rFonts w:hint="default" w:ascii="宋体" w:hAnsi="宋体" w:eastAsia="宋体"/>
          <w:b/>
          <w:bCs/>
          <w:color w:val="auto"/>
          <w:sz w:val="24"/>
          <w:highlight w:val="none"/>
          <w:lang w:val="en-US" w:eastAsia="zh-CN"/>
        </w:rPr>
        <w:t>劳务分包工程</w:t>
      </w:r>
      <w:r>
        <w:rPr>
          <w:rFonts w:hint="eastAsia" w:ascii="宋体" w:hAnsi="宋体"/>
          <w:b/>
          <w:bCs/>
          <w:color w:val="auto"/>
          <w:sz w:val="24"/>
          <w:highlight w:val="none"/>
          <w:lang w:val="en-US" w:eastAsia="zh-CN"/>
        </w:rPr>
        <w:t>量</w:t>
      </w:r>
      <w:r>
        <w:rPr>
          <w:rFonts w:hint="default" w:ascii="宋体" w:hAnsi="宋体" w:eastAsia="宋体"/>
          <w:b/>
          <w:bCs/>
          <w:color w:val="auto"/>
          <w:sz w:val="24"/>
          <w:highlight w:val="none"/>
          <w:lang w:val="en-US" w:eastAsia="zh-CN"/>
        </w:rPr>
        <w:t>清单》</w:t>
      </w:r>
    </w:p>
    <w:p w14:paraId="1D04D634">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outlineLvl w:val="9"/>
        <w:rPr>
          <w:rFonts w:hint="default" w:ascii="宋体" w:hAnsi="宋体" w:eastAsia="宋体"/>
          <w:color w:val="auto"/>
          <w:sz w:val="24"/>
          <w:highlight w:val="none"/>
          <w:lang w:val="en-US" w:eastAsia="zh-CN"/>
        </w:rPr>
      </w:pPr>
      <w:r>
        <w:rPr>
          <w:rFonts w:hint="default" w:ascii="宋体" w:hAnsi="宋体" w:eastAsia="宋体"/>
          <w:color w:val="auto"/>
          <w:sz w:val="24"/>
          <w:highlight w:val="none"/>
          <w:lang w:val="en-US" w:eastAsia="zh-CN"/>
        </w:rPr>
        <w:t>注：特殊工种，需持证上岗且为国家机构认证，浙石化考核合格</w:t>
      </w:r>
      <w:r>
        <w:rPr>
          <w:rFonts w:hint="eastAsia" w:ascii="宋体" w:hAnsi="宋体" w:eastAsia="宋体"/>
          <w:color w:val="auto"/>
          <w:sz w:val="24"/>
          <w:highlight w:val="none"/>
          <w:lang w:val="en-US" w:eastAsia="zh-CN"/>
        </w:rPr>
        <w:t>。</w:t>
      </w:r>
    </w:p>
    <w:p w14:paraId="716EEAD7">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outlineLvl w:val="9"/>
        <w:rPr>
          <w:rFonts w:hint="eastAsia" w:ascii="宋体" w:hAnsi="宋体"/>
          <w:color w:val="auto"/>
          <w:sz w:val="24"/>
          <w:highlight w:val="none"/>
          <w:lang w:eastAsia="zh-CN"/>
        </w:rPr>
      </w:pPr>
      <w:r>
        <w:rPr>
          <w:rFonts w:hint="eastAsia" w:ascii="宋体" w:hAnsi="宋体"/>
          <w:color w:val="auto"/>
          <w:sz w:val="24"/>
          <w:highlight w:val="none"/>
        </w:rPr>
        <w:t>1、项目地址：浙江省舟山市岱山县鱼山岛</w:t>
      </w:r>
      <w:r>
        <w:rPr>
          <w:rFonts w:hint="eastAsia" w:ascii="宋体" w:hAnsi="宋体"/>
          <w:color w:val="auto"/>
          <w:sz w:val="24"/>
          <w:highlight w:val="none"/>
          <w:lang w:eastAsia="zh-CN"/>
        </w:rPr>
        <w:t>；</w:t>
      </w:r>
    </w:p>
    <w:p w14:paraId="5BEFF368">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outlineLvl w:val="9"/>
        <w:rPr>
          <w:rFonts w:hint="eastAsia" w:ascii="宋体" w:hAnsi="宋体"/>
          <w:color w:val="auto"/>
          <w:sz w:val="24"/>
          <w:highlight w:val="none"/>
          <w:lang w:eastAsia="zh-CN"/>
        </w:rPr>
      </w:pPr>
      <w:r>
        <w:rPr>
          <w:rFonts w:hint="eastAsia" w:ascii="宋体" w:hAnsi="宋体"/>
          <w:color w:val="auto"/>
          <w:sz w:val="24"/>
          <w:highlight w:val="none"/>
          <w:lang w:val="en-US" w:eastAsia="zh-CN"/>
        </w:rPr>
        <w:t>2</w:t>
      </w:r>
      <w:r>
        <w:rPr>
          <w:rFonts w:hint="eastAsia" w:ascii="宋体" w:hAnsi="宋体"/>
          <w:color w:val="auto"/>
          <w:sz w:val="24"/>
          <w:highlight w:val="none"/>
        </w:rPr>
        <w:t>、报价含包含从施工准备至交工验收全过程所需之一切人工（包括工人工资、加班费、由个人和用人单位承担的社会保险费、年休假工资、合同终止/解除经济补偿金、劳务管理费、人员进退场费、职工福利费、教育经费、工会经费等）、机具、大型械、晚间及节假日加班费、卸车、二次倒运、材料退库、存储及相关等措施费用、铁丝网、沾钉等工程所需的一切辅材及耗材、水电费、劳保用品、食宿、交通、加班送餐、暂住证与识别证办证费、保险、施工措施费（包括所需材料：如枕木、临时拉风绳、加固支撑等、安全文明施工费（含安全网、安全带等）、材料及成品、半成品保护措施费、冬雨季施工措施费、高空施工安全措施费等各种施工措施费、管理费、劳务分包管理费、税金和附加费等及作为有经验的单位应当预见到的为完成本项目所需的工作所需的费用及风险等费用</w:t>
      </w:r>
      <w:r>
        <w:rPr>
          <w:rFonts w:hint="eastAsia" w:ascii="宋体" w:hAnsi="宋体"/>
          <w:color w:val="auto"/>
          <w:sz w:val="24"/>
          <w:highlight w:val="none"/>
          <w:lang w:eastAsia="zh-CN"/>
        </w:rPr>
        <w:t>；</w:t>
      </w:r>
    </w:p>
    <w:p w14:paraId="5611DF4A">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outlineLvl w:val="9"/>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、零星用工（签证人工）的单价（含税完全单价）按200元/工日（不论工种）结算；</w:t>
      </w:r>
    </w:p>
    <w:p w14:paraId="56EE9DE5">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outlineLvl w:val="9"/>
        <w:rPr>
          <w:rFonts w:hint="eastAsia" w:ascii="宋体" w:hAnsi="宋体"/>
          <w:color w:val="auto"/>
          <w:sz w:val="24"/>
          <w:highlight w:val="none"/>
          <w:lang w:eastAsia="zh-CN"/>
        </w:rPr>
      </w:pPr>
      <w:r>
        <w:rPr>
          <w:rFonts w:hint="eastAsia" w:ascii="宋体" w:hAnsi="宋体"/>
          <w:color w:val="auto"/>
          <w:sz w:val="24"/>
          <w:highlight w:val="none"/>
          <w:lang w:val="en-US" w:eastAsia="zh-CN"/>
        </w:rPr>
        <w:t>4</w:t>
      </w:r>
      <w:r>
        <w:rPr>
          <w:rFonts w:hint="eastAsia" w:ascii="宋体" w:hAnsi="宋体"/>
          <w:color w:val="auto"/>
          <w:sz w:val="24"/>
          <w:highlight w:val="none"/>
        </w:rPr>
        <w:t>、上述价款为含税价款，甲方不再另行支付税金，乙方向甲方开具3%建筑增值税专票</w:t>
      </w:r>
      <w:r>
        <w:rPr>
          <w:rFonts w:hint="eastAsia" w:ascii="宋体" w:hAnsi="宋体"/>
          <w:color w:val="auto"/>
          <w:sz w:val="24"/>
          <w:highlight w:val="none"/>
          <w:lang w:eastAsia="zh-CN"/>
        </w:rPr>
        <w:t>。</w:t>
      </w:r>
    </w:p>
    <w:p w14:paraId="36824161">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outlineLvl w:val="9"/>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5、脚手架搭设要求：搭设之前需有项目部下发任务单（派工单），每个分部分项统一绘制脚手架搭设图纸，经成本中心审核后方可进行搭设施工，搭设完成确认单每月10号前上报项目费控部门。</w:t>
      </w:r>
    </w:p>
    <w:p w14:paraId="638B10AC">
      <w:pPr>
        <w:rPr>
          <w:rFonts w:hint="eastAsia" w:ascii="宋体" w:hAnsi="宋体"/>
          <w:color w:val="auto"/>
          <w:sz w:val="24"/>
          <w:highlight w:val="yellow"/>
          <w:lang w:val="en-US" w:eastAsia="zh-CN"/>
        </w:rPr>
      </w:pPr>
      <w:r>
        <w:rPr>
          <w:rFonts w:hint="eastAsia" w:ascii="宋体" w:hAnsi="宋体"/>
          <w:color w:val="auto"/>
          <w:sz w:val="24"/>
          <w:highlight w:val="yellow"/>
          <w:lang w:val="en-US" w:eastAsia="zh-CN"/>
        </w:rPr>
        <w:br w:type="page"/>
      </w:r>
    </w:p>
    <w:p w14:paraId="5A46A427">
      <w:pPr>
        <w:pStyle w:val="2"/>
        <w:spacing w:line="0" w:lineRule="atLeast"/>
        <w:jc w:val="center"/>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法人代表授权书</w:t>
      </w:r>
    </w:p>
    <w:p w14:paraId="369BB923">
      <w:pPr>
        <w:spacing w:line="520" w:lineRule="exact"/>
        <w:rPr>
          <w:rFonts w:hint="eastAsia" w:ascii="宋体" w:hAnsi="宋体" w:eastAsia="宋体" w:cs="宋体"/>
          <w:color w:val="000000"/>
          <w:sz w:val="24"/>
          <w:highlight w:val="none"/>
        </w:rPr>
      </w:pPr>
    </w:p>
    <w:p w14:paraId="29FFB129">
      <w:pPr>
        <w:spacing w:line="600" w:lineRule="exact"/>
        <w:ind w:firstLine="573"/>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本授权委托书声明：我</w:t>
      </w:r>
      <w:r>
        <w:rPr>
          <w:rFonts w:hint="eastAsia" w:ascii="宋体" w:hAnsi="宋体" w:eastAsia="宋体" w:cs="宋体"/>
          <w:color w:val="000000"/>
          <w:sz w:val="24"/>
          <w:szCs w:val="24"/>
          <w:highlight w:val="none"/>
          <w:u w:val="single"/>
        </w:rPr>
        <w:t xml:space="preserve"> </w:t>
      </w:r>
      <w:permStart w:id="27" w:edGrp="everyone"/>
      <w:r>
        <w:rPr>
          <w:rFonts w:hint="eastAsia" w:ascii="宋体" w:hAnsi="宋体" w:eastAsia="宋体" w:cs="宋体"/>
          <w:color w:val="000000"/>
          <w:sz w:val="24"/>
          <w:szCs w:val="24"/>
          <w:highlight w:val="none"/>
          <w:u w:val="single"/>
        </w:rPr>
        <w:t xml:space="preserve">     </w:t>
      </w:r>
      <w:permEnd w:id="27"/>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系</w:t>
      </w:r>
      <w:r>
        <w:rPr>
          <w:rFonts w:hint="eastAsia" w:ascii="宋体" w:hAnsi="宋体" w:eastAsia="宋体" w:cs="宋体"/>
          <w:color w:val="000000"/>
          <w:sz w:val="24"/>
          <w:szCs w:val="24"/>
          <w:highlight w:val="none"/>
          <w:u w:val="single"/>
        </w:rPr>
        <w:t xml:space="preserve">  </w:t>
      </w:r>
      <w:permStart w:id="28" w:edGrp="everyone"/>
      <w:r>
        <w:rPr>
          <w:rFonts w:hint="eastAsia" w:ascii="宋体" w:hAnsi="宋体" w:eastAsia="宋体" w:cs="宋体"/>
          <w:color w:val="000000"/>
          <w:sz w:val="24"/>
          <w:szCs w:val="24"/>
          <w:highlight w:val="none"/>
          <w:u w:val="single"/>
        </w:rPr>
        <w:t xml:space="preserve">                          </w:t>
      </w:r>
      <w:permEnd w:id="28"/>
      <w:r>
        <w:rPr>
          <w:rFonts w:hint="eastAsia" w:ascii="宋体" w:hAnsi="宋体" w:eastAsia="宋体" w:cs="宋体"/>
          <w:color w:val="000000"/>
          <w:sz w:val="24"/>
          <w:szCs w:val="24"/>
          <w:highlight w:val="none"/>
        </w:rPr>
        <w:t>的法定代表人，现授权委托</w:t>
      </w:r>
      <w:r>
        <w:rPr>
          <w:rFonts w:hint="eastAsia" w:ascii="宋体" w:hAnsi="宋体" w:eastAsia="宋体" w:cs="宋体"/>
          <w:color w:val="000000"/>
          <w:sz w:val="24"/>
          <w:szCs w:val="24"/>
          <w:highlight w:val="none"/>
          <w:u w:val="single"/>
        </w:rPr>
        <w:t xml:space="preserve"> </w:t>
      </w:r>
      <w:permStart w:id="29" w:edGrp="everyone"/>
      <w:r>
        <w:rPr>
          <w:rFonts w:hint="eastAsia" w:ascii="宋体" w:hAnsi="宋体" w:eastAsia="宋体" w:cs="宋体"/>
          <w:color w:val="000000"/>
          <w:sz w:val="24"/>
          <w:szCs w:val="24"/>
          <w:highlight w:val="none"/>
          <w:u w:val="single"/>
        </w:rPr>
        <w:t xml:space="preserve">        </w:t>
      </w:r>
      <w:permEnd w:id="29"/>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为我的委托代理人，全权代表本公司处理</w:t>
      </w:r>
      <w:r>
        <w:rPr>
          <w:rFonts w:hint="eastAsia" w:ascii="宋体" w:hAnsi="宋体" w:eastAsia="宋体" w:cs="宋体"/>
          <w:color w:val="000000"/>
          <w:sz w:val="24"/>
          <w:szCs w:val="24"/>
          <w:highlight w:val="none"/>
          <w:u w:val="single"/>
        </w:rPr>
        <w:t xml:space="preserve"> </w:t>
      </w:r>
      <w:permStart w:id="30" w:edGrp="everyone"/>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permEnd w:id="30"/>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工程的招投标活动。委托代理人在招投标过程中所签署的一切文件和处理与之有关的一切事务，我均予以承认。</w:t>
      </w:r>
    </w:p>
    <w:p w14:paraId="44DB9E07">
      <w:pPr>
        <w:spacing w:line="600" w:lineRule="exact"/>
        <w:ind w:firstLine="573"/>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代理人无转委权。特此委托。</w:t>
      </w:r>
    </w:p>
    <w:p w14:paraId="1449CAB4">
      <w:pPr>
        <w:rPr>
          <w:rFonts w:hint="eastAsia" w:ascii="宋体" w:hAnsi="宋体" w:eastAsia="宋体" w:cs="宋体"/>
          <w:color w:val="000000"/>
          <w:sz w:val="24"/>
          <w:szCs w:val="24"/>
          <w:highlight w:val="none"/>
        </w:rPr>
      </w:pPr>
    </w:p>
    <w:p w14:paraId="0F9A9852">
      <w:pPr>
        <w:ind w:firstLine="57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委托代理人情况：</w:t>
      </w:r>
    </w:p>
    <w:p w14:paraId="6A8D6C7F">
      <w:pPr>
        <w:ind w:firstLine="570"/>
        <w:rPr>
          <w:rFonts w:hint="eastAsia" w:ascii="宋体" w:hAnsi="宋体" w:eastAsia="宋体" w:cs="宋体"/>
          <w:color w:val="000000"/>
          <w:sz w:val="24"/>
          <w:szCs w:val="24"/>
          <w:highlight w:val="none"/>
        </w:rPr>
      </w:pPr>
    </w:p>
    <w:p w14:paraId="502BA8DD">
      <w:pPr>
        <w:ind w:firstLine="570"/>
        <w:rPr>
          <w:rFonts w:hint="eastAsia" w:ascii="宋体" w:hAnsi="宋体" w:eastAsia="宋体" w:cs="宋体"/>
          <w:color w:val="000000"/>
          <w:sz w:val="24"/>
          <w:szCs w:val="24"/>
          <w:highlight w:val="none"/>
        </w:rPr>
      </w:pPr>
      <w:permStart w:id="31" w:edGrp="everyone"/>
      <w:r>
        <w:rPr>
          <w:rFonts w:hint="eastAsia" w:ascii="宋体" w:hAnsi="宋体" w:eastAsia="宋体" w:cs="宋体"/>
          <w:color w:val="000000"/>
          <w:sz w:val="24"/>
          <w:szCs w:val="24"/>
          <w:highlight w:val="none"/>
        </w:rPr>
        <w:t xml:space="preserve"> 姓  名：         性  别：        年  龄： </w:t>
      </w:r>
    </w:p>
    <w:permEnd w:id="31"/>
    <w:p w14:paraId="43079303">
      <w:pPr>
        <w:ind w:left="630" w:hanging="60"/>
        <w:rPr>
          <w:rFonts w:hint="eastAsia" w:ascii="宋体" w:hAnsi="宋体" w:eastAsia="宋体" w:cs="宋体"/>
          <w:color w:val="000000"/>
          <w:sz w:val="24"/>
          <w:szCs w:val="24"/>
          <w:highlight w:val="none"/>
        </w:rPr>
      </w:pPr>
    </w:p>
    <w:p w14:paraId="662A068A">
      <w:pPr>
        <w:ind w:left="630" w:hanging="60"/>
        <w:rPr>
          <w:rFonts w:hint="eastAsia" w:ascii="宋体" w:hAnsi="宋体" w:eastAsia="宋体" w:cs="宋体"/>
          <w:color w:val="000000"/>
          <w:sz w:val="24"/>
          <w:szCs w:val="24"/>
          <w:highlight w:val="none"/>
        </w:rPr>
      </w:pPr>
      <w:permStart w:id="32" w:edGrp="everyone"/>
      <w:r>
        <w:rPr>
          <w:rFonts w:hint="eastAsia" w:ascii="宋体" w:hAnsi="宋体" w:eastAsia="宋体" w:cs="宋体"/>
          <w:color w:val="000000"/>
          <w:sz w:val="24"/>
          <w:szCs w:val="24"/>
          <w:highlight w:val="none"/>
        </w:rPr>
        <w:t xml:space="preserve"> 单  位：         部  门：        职  务：</w:t>
      </w:r>
    </w:p>
    <w:permEnd w:id="32"/>
    <w:p w14:paraId="15E873DB">
      <w:pPr>
        <w:ind w:left="630" w:hanging="60"/>
        <w:rPr>
          <w:rFonts w:hint="eastAsia" w:ascii="宋体" w:hAnsi="宋体" w:eastAsia="宋体" w:cs="宋体"/>
          <w:color w:val="000000"/>
          <w:sz w:val="24"/>
          <w:szCs w:val="24"/>
          <w:highlight w:val="none"/>
        </w:rPr>
      </w:pPr>
    </w:p>
    <w:p w14:paraId="775EDCD8">
      <w:pPr>
        <w:ind w:left="0" w:leftChars="0" w:firstLine="0" w:firstLineChars="0"/>
        <w:rPr>
          <w:rFonts w:hint="eastAsia" w:ascii="宋体" w:hAnsi="宋体" w:eastAsia="宋体" w:cs="宋体"/>
          <w:color w:val="000000"/>
          <w:sz w:val="24"/>
          <w:szCs w:val="24"/>
          <w:highlight w:val="none"/>
        </w:rPr>
      </w:pPr>
    </w:p>
    <w:p w14:paraId="0990A520">
      <w:pPr>
        <w:ind w:left="630" w:hanging="6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p>
    <w:p w14:paraId="72EA7D55">
      <w:pPr>
        <w:ind w:firstLine="2565" w:firstLineChars="1069"/>
        <w:rPr>
          <w:rFonts w:hint="eastAsia" w:ascii="宋体" w:hAnsi="宋体" w:eastAsia="宋体" w:cs="宋体"/>
          <w:color w:val="000000"/>
          <w:sz w:val="24"/>
          <w:szCs w:val="24"/>
          <w:highlight w:val="none"/>
        </w:rPr>
      </w:pPr>
    </w:p>
    <w:p w14:paraId="793042D4">
      <w:pPr>
        <w:ind w:firstLine="2565" w:firstLineChars="106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投标人：（盖章） </w:t>
      </w:r>
    </w:p>
    <w:p w14:paraId="4B92BC12">
      <w:pPr>
        <w:spacing w:line="360" w:lineRule="auto"/>
        <w:ind w:firstLine="2565" w:firstLineChars="106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p>
    <w:p w14:paraId="638021BB">
      <w:pPr>
        <w:spacing w:line="360" w:lineRule="auto"/>
        <w:ind w:firstLine="2565" w:firstLineChars="106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 xml:space="preserve"> 法定代表人：</w:t>
      </w:r>
    </w:p>
    <w:p w14:paraId="6CC27CDD">
      <w:pPr>
        <w:spacing w:line="360" w:lineRule="auto"/>
        <w:ind w:firstLine="2565" w:firstLineChars="1069"/>
        <w:rPr>
          <w:rFonts w:hint="eastAsia" w:ascii="宋体" w:hAnsi="宋体" w:eastAsia="宋体" w:cs="宋体"/>
          <w:color w:val="000000"/>
          <w:sz w:val="24"/>
          <w:szCs w:val="24"/>
          <w:highlight w:val="none"/>
        </w:rPr>
      </w:pPr>
    </w:p>
    <w:p w14:paraId="2C8A2BD7">
      <w:pPr>
        <w:spacing w:line="360" w:lineRule="auto"/>
        <w:ind w:firstLine="2566"/>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 xml:space="preserve"> 年   月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 xml:space="preserve"> 日</w:t>
      </w:r>
    </w:p>
    <w:p w14:paraId="33FA9693">
      <w:pPr>
        <w:spacing w:line="360" w:lineRule="auto"/>
        <w:ind w:firstLine="570"/>
        <w:rPr>
          <w:rFonts w:hint="eastAsia" w:ascii="宋体" w:hAnsi="宋体" w:eastAsia="宋体" w:cs="宋体"/>
          <w:color w:val="000000"/>
          <w:sz w:val="24"/>
          <w:szCs w:val="24"/>
          <w:highlight w:val="none"/>
          <w:lang w:val="en-US" w:eastAsia="zh-CN"/>
        </w:rPr>
      </w:pPr>
    </w:p>
    <w:p w14:paraId="02D3F561">
      <w:pPr>
        <w:spacing w:line="360" w:lineRule="auto"/>
        <w:ind w:firstLine="570"/>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附：法定代表人及授权委托人的身份证复印件</w:t>
      </w:r>
    </w:p>
    <w:p w14:paraId="7373077E">
      <w:pPr>
        <w:spacing w:line="240" w:lineRule="auto"/>
        <w:ind w:firstLine="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br w:type="page"/>
      </w:r>
    </w:p>
    <w:p w14:paraId="2F146D11">
      <w:pPr>
        <w:pStyle w:val="2"/>
        <w:spacing w:line="0" w:lineRule="atLeast"/>
        <w:jc w:val="center"/>
        <w:rPr>
          <w:rFonts w:hint="eastAsia" w:ascii="宋体" w:hAnsi="宋体" w:eastAsia="宋体" w:cs="宋体"/>
          <w:color w:val="000000"/>
          <w:sz w:val="32"/>
          <w:szCs w:val="32"/>
          <w:highlight w:val="none"/>
        </w:rPr>
      </w:pPr>
    </w:p>
    <w:p w14:paraId="5617D261">
      <w:pPr>
        <w:pStyle w:val="2"/>
        <w:spacing w:line="0" w:lineRule="atLeast"/>
        <w:jc w:val="center"/>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法定代表人资格证明书</w:t>
      </w:r>
    </w:p>
    <w:p w14:paraId="7ADB326E">
      <w:pPr>
        <w:rPr>
          <w:rFonts w:hint="eastAsia" w:ascii="宋体" w:hAnsi="宋体" w:eastAsia="宋体" w:cs="宋体"/>
          <w:highlight w:val="none"/>
        </w:rPr>
      </w:pPr>
    </w:p>
    <w:p w14:paraId="4276872A">
      <w:pPr>
        <w:rPr>
          <w:rFonts w:hint="eastAsia" w:ascii="宋体" w:hAnsi="宋体" w:eastAsia="宋体" w:cs="宋体"/>
          <w:highlight w:val="none"/>
        </w:rPr>
      </w:pPr>
    </w:p>
    <w:p w14:paraId="58A74005">
      <w:pPr>
        <w:tabs>
          <w:tab w:val="left" w:pos="6510"/>
        </w:tabs>
        <w:jc w:val="center"/>
        <w:rPr>
          <w:rFonts w:hint="eastAsia" w:ascii="宋体" w:hAnsi="宋体" w:eastAsia="宋体" w:cs="宋体"/>
          <w:color w:val="000000"/>
          <w:highlight w:val="none"/>
        </w:rPr>
      </w:pPr>
    </w:p>
    <w:p w14:paraId="26AEDFF1">
      <w:pPr>
        <w:tabs>
          <w:tab w:val="left" w:pos="6510"/>
        </w:tabs>
        <w:spacing w:before="120" w:after="120"/>
        <w:rPr>
          <w:rFonts w:hint="eastAsia" w:ascii="宋体" w:hAnsi="宋体" w:eastAsia="宋体" w:cs="宋体"/>
          <w:color w:val="000000"/>
          <w:sz w:val="28"/>
          <w:szCs w:val="28"/>
          <w:highlight w:val="none"/>
          <w:u w:val="single"/>
        </w:rPr>
      </w:pPr>
      <w:r>
        <w:rPr>
          <w:rFonts w:hint="eastAsia" w:ascii="宋体" w:hAnsi="宋体" w:eastAsia="宋体" w:cs="宋体"/>
          <w:color w:val="000000"/>
          <w:sz w:val="32"/>
          <w:highlight w:val="none"/>
        </w:rPr>
        <w:t xml:space="preserve">  </w:t>
      </w:r>
      <w:r>
        <w:rPr>
          <w:rFonts w:hint="eastAsia" w:ascii="宋体" w:hAnsi="宋体" w:eastAsia="宋体" w:cs="宋体"/>
          <w:color w:val="000000"/>
          <w:sz w:val="28"/>
          <w:szCs w:val="28"/>
          <w:highlight w:val="none"/>
        </w:rPr>
        <w:t>单位名称：</w:t>
      </w:r>
      <w:permStart w:id="33" w:edGrp="everyone"/>
      <w:r>
        <w:rPr>
          <w:rFonts w:hint="eastAsia" w:ascii="宋体" w:hAnsi="宋体" w:eastAsia="宋体" w:cs="宋体"/>
          <w:color w:val="000000"/>
          <w:sz w:val="28"/>
          <w:szCs w:val="28"/>
          <w:highlight w:val="none"/>
          <w:u w:val="single"/>
        </w:rPr>
        <w:t xml:space="preserve">                              </w:t>
      </w:r>
      <w:permEnd w:id="33"/>
    </w:p>
    <w:p w14:paraId="5AB2DC39">
      <w:pPr>
        <w:tabs>
          <w:tab w:val="left" w:pos="6510"/>
        </w:tabs>
        <w:spacing w:before="120" w:after="120"/>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rPr>
        <w:t xml:space="preserve">  地    址：</w:t>
      </w:r>
      <w:permStart w:id="34" w:edGrp="everyone"/>
      <w:r>
        <w:rPr>
          <w:rFonts w:hint="eastAsia" w:ascii="宋体" w:hAnsi="宋体" w:eastAsia="宋体" w:cs="宋体"/>
          <w:color w:val="000000"/>
          <w:sz w:val="28"/>
          <w:szCs w:val="28"/>
          <w:highlight w:val="none"/>
          <w:u w:val="single"/>
        </w:rPr>
        <w:t xml:space="preserve">                              </w:t>
      </w:r>
      <w:permEnd w:id="34"/>
    </w:p>
    <w:p w14:paraId="7972E1B5">
      <w:pPr>
        <w:tabs>
          <w:tab w:val="left" w:pos="6510"/>
        </w:tabs>
        <w:spacing w:before="120" w:after="120"/>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rPr>
        <w:t xml:space="preserve">  </w:t>
      </w:r>
      <w:permStart w:id="35" w:edGrp="everyone"/>
      <w:r>
        <w:rPr>
          <w:rFonts w:hint="eastAsia" w:ascii="宋体" w:hAnsi="宋体" w:eastAsia="宋体" w:cs="宋体"/>
          <w:color w:val="000000"/>
          <w:sz w:val="28"/>
          <w:szCs w:val="28"/>
          <w:highlight w:val="none"/>
        </w:rPr>
        <w:t>姓 名：</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 xml:space="preserve">  性 别：</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 xml:space="preserve"> </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 xml:space="preserve">  年龄：</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 xml:space="preserve"> </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 xml:space="preserve">  职务：</w:t>
      </w:r>
      <w:r>
        <w:rPr>
          <w:rFonts w:hint="eastAsia" w:ascii="宋体" w:hAnsi="宋体" w:eastAsia="宋体" w:cs="宋体"/>
          <w:color w:val="000000"/>
          <w:sz w:val="28"/>
          <w:szCs w:val="28"/>
          <w:highlight w:val="none"/>
          <w:u w:val="single"/>
        </w:rPr>
        <w:t xml:space="preserve">       </w:t>
      </w:r>
    </w:p>
    <w:p w14:paraId="075E9C87">
      <w:pPr>
        <w:tabs>
          <w:tab w:val="left" w:pos="6510"/>
        </w:tabs>
        <w:spacing w:before="120" w:after="12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民 族：</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 xml:space="preserve">  电 话：</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 xml:space="preserve"> </w:t>
      </w:r>
      <w:r>
        <w:rPr>
          <w:rFonts w:hint="eastAsia" w:ascii="宋体" w:hAnsi="宋体" w:eastAsia="宋体" w:cs="宋体"/>
          <w:color w:val="000000"/>
          <w:sz w:val="28"/>
          <w:szCs w:val="28"/>
          <w:highlight w:val="none"/>
          <w:u w:val="single"/>
        </w:rPr>
        <w:t xml:space="preserve">      </w:t>
      </w:r>
    </w:p>
    <w:permEnd w:id="35"/>
    <w:p w14:paraId="00994B1B">
      <w:pPr>
        <w:tabs>
          <w:tab w:val="left" w:pos="6510"/>
        </w:tabs>
        <w:spacing w:before="120" w:after="12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系</w:t>
      </w:r>
      <w:r>
        <w:rPr>
          <w:rFonts w:hint="eastAsia" w:ascii="宋体" w:hAnsi="宋体" w:eastAsia="宋体" w:cs="宋体"/>
          <w:color w:val="000000"/>
          <w:sz w:val="28"/>
          <w:szCs w:val="28"/>
          <w:highlight w:val="none"/>
          <w:u w:val="single"/>
        </w:rPr>
        <w:t xml:space="preserve"> </w:t>
      </w:r>
      <w:permStart w:id="36" w:edGrp="everyone"/>
      <w:r>
        <w:rPr>
          <w:rFonts w:hint="eastAsia" w:ascii="宋体" w:hAnsi="宋体" w:eastAsia="宋体" w:cs="宋体"/>
          <w:color w:val="000000"/>
          <w:sz w:val="28"/>
          <w:szCs w:val="28"/>
          <w:highlight w:val="none"/>
          <w:u w:val="single"/>
        </w:rPr>
        <w:t xml:space="preserve">                              </w:t>
      </w:r>
      <w:permEnd w:id="36"/>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的法定代表人。</w:t>
      </w:r>
    </w:p>
    <w:p w14:paraId="6CF0B5B6">
      <w:pPr>
        <w:tabs>
          <w:tab w:val="left" w:pos="6510"/>
        </w:tabs>
        <w:rPr>
          <w:rFonts w:hint="eastAsia" w:ascii="宋体" w:hAnsi="宋体" w:eastAsia="宋体" w:cs="宋体"/>
          <w:color w:val="000000"/>
          <w:sz w:val="28"/>
          <w:szCs w:val="28"/>
          <w:highlight w:val="none"/>
        </w:rPr>
      </w:pPr>
    </w:p>
    <w:p w14:paraId="1BE76149">
      <w:pPr>
        <w:jc w:val="right"/>
        <w:rPr>
          <w:rFonts w:hint="eastAsia" w:ascii="宋体" w:hAnsi="宋体" w:eastAsia="宋体" w:cs="宋体"/>
          <w:color w:val="000000"/>
          <w:sz w:val="28"/>
          <w:szCs w:val="28"/>
          <w:highlight w:val="none"/>
        </w:rPr>
      </w:pPr>
    </w:p>
    <w:p w14:paraId="637ACE7D">
      <w:pPr>
        <w:tabs>
          <w:tab w:val="left" w:pos="6510"/>
        </w:tabs>
        <w:rPr>
          <w:rFonts w:hint="eastAsia" w:ascii="宋体" w:hAnsi="宋体" w:eastAsia="宋体" w:cs="宋体"/>
          <w:color w:val="000000"/>
          <w:sz w:val="28"/>
          <w:szCs w:val="28"/>
          <w:highlight w:val="none"/>
        </w:rPr>
      </w:pPr>
    </w:p>
    <w:p w14:paraId="2021119C">
      <w:pPr>
        <w:tabs>
          <w:tab w:val="left" w:pos="6510"/>
        </w:tabs>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投标单位：（公章）</w:t>
      </w:r>
    </w:p>
    <w:p w14:paraId="52C9C54D">
      <w:pP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w:t>
      </w:r>
    </w:p>
    <w:p w14:paraId="634063CA">
      <w:pP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w:t>
      </w:r>
      <w:r>
        <w:rPr>
          <w:rFonts w:hint="eastAsia" w:ascii="宋体" w:hAnsi="宋体" w:eastAsia="宋体" w:cs="宋体"/>
          <w:color w:val="000000"/>
          <w:sz w:val="28"/>
          <w:szCs w:val="28"/>
          <w:highlight w:val="none"/>
          <w:lang w:val="en-US" w:eastAsia="zh-CN"/>
        </w:rPr>
        <w:t xml:space="preserve">   </w:t>
      </w:r>
      <w:r>
        <w:rPr>
          <w:rFonts w:hint="eastAsia" w:ascii="宋体" w:hAnsi="宋体" w:eastAsia="宋体" w:cs="宋体"/>
          <w:color w:val="000000"/>
          <w:sz w:val="28"/>
          <w:szCs w:val="28"/>
          <w:highlight w:val="none"/>
        </w:rPr>
        <w:t xml:space="preserve"> 年 </w:t>
      </w:r>
      <w:r>
        <w:rPr>
          <w:rFonts w:hint="eastAsia" w:ascii="宋体" w:hAnsi="宋体" w:cs="宋体"/>
          <w:color w:val="000000"/>
          <w:sz w:val="28"/>
          <w:szCs w:val="28"/>
          <w:highlight w:val="none"/>
          <w:lang w:val="en-US" w:eastAsia="zh-CN"/>
        </w:rPr>
        <w:t xml:space="preserve"> </w:t>
      </w:r>
      <w:r>
        <w:rPr>
          <w:rFonts w:hint="eastAsia" w:ascii="宋体" w:hAnsi="宋体" w:eastAsia="宋体" w:cs="宋体"/>
          <w:color w:val="000000"/>
          <w:sz w:val="28"/>
          <w:szCs w:val="28"/>
          <w:highlight w:val="none"/>
        </w:rPr>
        <w:t xml:space="preserve"> </w:t>
      </w:r>
      <w:r>
        <w:rPr>
          <w:rFonts w:hint="eastAsia" w:ascii="宋体" w:hAnsi="宋体" w:eastAsia="宋体" w:cs="宋体"/>
          <w:color w:val="000000"/>
          <w:sz w:val="28"/>
          <w:szCs w:val="28"/>
          <w:highlight w:val="none"/>
          <w:lang w:val="en-US" w:eastAsia="zh-CN"/>
        </w:rPr>
        <w:t xml:space="preserve"> </w:t>
      </w:r>
      <w:r>
        <w:rPr>
          <w:rFonts w:hint="eastAsia" w:ascii="宋体" w:hAnsi="宋体" w:eastAsia="宋体" w:cs="宋体"/>
          <w:color w:val="000000"/>
          <w:sz w:val="28"/>
          <w:szCs w:val="28"/>
          <w:highlight w:val="none"/>
        </w:rPr>
        <w:t>月</w:t>
      </w:r>
      <w:r>
        <w:rPr>
          <w:rFonts w:hint="eastAsia" w:ascii="宋体" w:hAnsi="宋体" w:eastAsia="宋体" w:cs="宋体"/>
          <w:color w:val="000000"/>
          <w:sz w:val="28"/>
          <w:szCs w:val="28"/>
          <w:highlight w:val="none"/>
          <w:lang w:val="en-US" w:eastAsia="zh-CN"/>
        </w:rPr>
        <w:t xml:space="preserve"> </w:t>
      </w:r>
      <w:r>
        <w:rPr>
          <w:rFonts w:hint="eastAsia" w:ascii="宋体" w:hAnsi="宋体" w:eastAsia="宋体" w:cs="宋体"/>
          <w:color w:val="000000"/>
          <w:sz w:val="28"/>
          <w:szCs w:val="28"/>
          <w:highlight w:val="none"/>
        </w:rPr>
        <w:t xml:space="preserve"> </w:t>
      </w:r>
      <w:r>
        <w:rPr>
          <w:rFonts w:hint="eastAsia" w:ascii="宋体" w:hAnsi="宋体" w:cs="宋体"/>
          <w:color w:val="000000"/>
          <w:sz w:val="28"/>
          <w:szCs w:val="28"/>
          <w:highlight w:val="none"/>
          <w:lang w:val="en-US" w:eastAsia="zh-CN"/>
        </w:rPr>
        <w:t xml:space="preserve"> </w:t>
      </w:r>
      <w:r>
        <w:rPr>
          <w:rFonts w:hint="eastAsia" w:ascii="宋体" w:hAnsi="宋体" w:eastAsia="宋体" w:cs="宋体"/>
          <w:color w:val="000000"/>
          <w:sz w:val="28"/>
          <w:szCs w:val="28"/>
          <w:highlight w:val="none"/>
        </w:rPr>
        <w:t xml:space="preserve"> 日</w:t>
      </w:r>
    </w:p>
    <w:p w14:paraId="4C5D965C">
      <w:pPr>
        <w:spacing w:before="159" w:beforeLines="50" w:after="159" w:afterLines="50" w:line="240" w:lineRule="auto"/>
        <w:ind w:firstLine="0" w:firstLineChars="0"/>
        <w:jc w:val="center"/>
        <w:rPr>
          <w:rFonts w:hint="eastAsia" w:ascii="宋体" w:hAnsi="宋体" w:eastAsia="宋体" w:cs="宋体"/>
          <w:highlight w:val="none"/>
          <w:lang w:val="en-US" w:eastAsia="zh-CN"/>
        </w:rPr>
      </w:pPr>
    </w:p>
    <w:p w14:paraId="6DE1D9AE">
      <w:pPr>
        <w:spacing w:before="0" w:beforeLines="-2147483648" w:after="0" w:afterLines="-2147483648" w:line="240" w:lineRule="auto"/>
        <w:ind w:firstLine="0" w:firstLineChars="0"/>
        <w:jc w:val="left"/>
        <w:rPr>
          <w:rFonts w:hint="eastAsia" w:ascii="宋体" w:hAnsi="宋体" w:eastAsia="宋体" w:cs="宋体"/>
          <w:color w:val="000000"/>
          <w:sz w:val="24"/>
          <w:szCs w:val="24"/>
          <w:highlight w:val="none"/>
          <w:lang w:val="en-US" w:eastAsia="zh-CN"/>
        </w:rPr>
      </w:pPr>
    </w:p>
    <w:p w14:paraId="63858394">
      <w:pPr>
        <w:spacing w:line="360" w:lineRule="auto"/>
        <w:ind w:firstLine="570"/>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附：企业法人营业执照、企业资质等级证书、安全生产许可证等其它相关资料</w:t>
      </w:r>
    </w:p>
    <w:p w14:paraId="0B1FC81E">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outlineLvl w:val="9"/>
        <w:rPr>
          <w:rFonts w:hint="default" w:ascii="宋体" w:hAnsi="宋体"/>
          <w:color w:val="auto"/>
          <w:sz w:val="24"/>
          <w:highlight w:val="yellow"/>
          <w:lang w:val="en-US" w:eastAsia="zh-CN"/>
        </w:rPr>
      </w:pPr>
    </w:p>
    <w:p w14:paraId="45ECDD02">
      <w:pPr>
        <w:keepNext w:val="0"/>
        <w:keepLines w:val="0"/>
        <w:pageBreakBefore w:val="0"/>
        <w:widowControl w:val="0"/>
        <w:kinsoku/>
        <w:wordWrap/>
        <w:overflowPunct/>
        <w:topLinePunct w:val="0"/>
        <w:autoSpaceDE/>
        <w:autoSpaceDN/>
        <w:bidi w:val="0"/>
        <w:adjustRightInd/>
        <w:snapToGrid w:val="0"/>
        <w:spacing w:line="360" w:lineRule="auto"/>
        <w:ind w:left="0" w:leftChars="0" w:firstLine="683" w:firstLineChars="200"/>
        <w:jc w:val="left"/>
        <w:textAlignment w:val="auto"/>
        <w:outlineLvl w:val="9"/>
        <w:rPr>
          <w:rFonts w:hint="eastAsia" w:ascii="宋体" w:hAnsi="宋体"/>
          <w:b/>
          <w:color w:val="auto"/>
          <w:spacing w:val="10"/>
          <w:sz w:val="32"/>
          <w:szCs w:val="32"/>
          <w:highlight w:val="none"/>
        </w:rPr>
      </w:pPr>
      <w:r>
        <w:rPr>
          <w:rFonts w:hint="eastAsia" w:ascii="宋体" w:hAnsi="宋体"/>
          <w:b/>
          <w:color w:val="auto"/>
          <w:spacing w:val="10"/>
          <w:sz w:val="32"/>
          <w:szCs w:val="32"/>
          <w:highlight w:val="none"/>
        </w:rPr>
        <w:br w:type="page"/>
      </w:r>
    </w:p>
    <w:p w14:paraId="42A2DA9D">
      <w:pPr>
        <w:pStyle w:val="6"/>
        <w:keepNext w:val="0"/>
        <w:keepLines w:val="0"/>
        <w:pageBreakBefore w:val="0"/>
        <w:widowControl/>
        <w:kinsoku w:val="0"/>
        <w:wordWrap/>
        <w:overflowPunct/>
        <w:topLinePunct w:val="0"/>
        <w:autoSpaceDE w:val="0"/>
        <w:autoSpaceDN w:val="0"/>
        <w:bidi w:val="0"/>
        <w:adjustRightInd w:val="0"/>
        <w:snapToGrid w:val="0"/>
        <w:spacing w:before="327" w:beforeLines="100" w:after="327" w:afterLines="100" w:line="240" w:lineRule="auto"/>
        <w:ind w:left="0" w:right="0" w:firstLine="0"/>
        <w:textAlignment w:val="baseline"/>
        <w:outlineLvl w:val="0"/>
        <w:rPr>
          <w:rFonts w:hint="default" w:ascii="宋体" w:hAnsi="宋体" w:eastAsia="宋体" w:cs="宋体"/>
          <w:b/>
          <w:bCs/>
          <w:spacing w:val="7"/>
          <w:sz w:val="32"/>
          <w:szCs w:val="32"/>
          <w:lang w:val="en-US" w:eastAsia="zh-CN"/>
        </w:rPr>
      </w:pPr>
      <w:r>
        <w:rPr>
          <w:rFonts w:hint="eastAsia" w:ascii="宋体" w:hAnsi="宋体" w:eastAsia="宋体" w:cs="宋体"/>
          <w:b/>
          <w:bCs/>
          <w:spacing w:val="7"/>
          <w:sz w:val="32"/>
          <w:szCs w:val="32"/>
          <w:lang w:val="en-US" w:eastAsia="zh-CN"/>
        </w:rPr>
        <w:t>五、分包合同范本</w:t>
      </w:r>
    </w:p>
    <w:p w14:paraId="4168D685">
      <w:pPr>
        <w:pageBreakBefore w:val="0"/>
        <w:kinsoku/>
        <w:overflowPunct/>
        <w:topLinePunct w:val="0"/>
        <w:autoSpaceDE/>
        <w:autoSpaceDN/>
        <w:bidi w:val="0"/>
        <w:adjustRightInd/>
        <w:spacing w:line="360" w:lineRule="auto"/>
        <w:ind w:left="0" w:firstLine="0" w:firstLineChars="0"/>
        <w:jc w:val="center"/>
        <w:outlineLvl w:val="9"/>
        <w:rPr>
          <w:rFonts w:hint="eastAsia" w:ascii="宋体" w:hAnsi="宋体"/>
          <w:b/>
          <w:color w:val="auto"/>
          <w:spacing w:val="10"/>
          <w:sz w:val="36"/>
          <w:szCs w:val="36"/>
          <w:highlight w:val="none"/>
          <w:lang w:val="en-US" w:eastAsia="zh-CN"/>
        </w:rPr>
      </w:pPr>
      <w:permStart w:id="37" w:edGrp="everyone"/>
      <w:r>
        <w:rPr>
          <w:rFonts w:hint="eastAsia" w:ascii="宋体" w:hAnsi="宋体"/>
          <w:b/>
          <w:color w:val="auto"/>
          <w:spacing w:val="10"/>
          <w:sz w:val="28"/>
          <w:szCs w:val="28"/>
          <w:highlight w:val="none"/>
          <w:lang w:eastAsia="zh-CN"/>
        </w:rPr>
        <w:t>浙石化2025炼油芳烃事业部大修(1#气提、2#硫磺、4#硫磺)项目隐患消缺中补焊及管道技改</w:t>
      </w:r>
      <w:r>
        <w:rPr>
          <w:rFonts w:hint="eastAsia" w:ascii="宋体" w:hAnsi="宋体"/>
          <w:b/>
          <w:color w:val="auto"/>
          <w:spacing w:val="10"/>
          <w:sz w:val="28"/>
          <w:szCs w:val="28"/>
          <w:highlight w:val="none"/>
          <w:lang w:val="en-US" w:eastAsia="zh-CN"/>
        </w:rPr>
        <w:t>等</w:t>
      </w:r>
      <w:r>
        <w:rPr>
          <w:rFonts w:hint="eastAsia" w:ascii="宋体" w:hAnsi="宋体"/>
          <w:b/>
          <w:color w:val="auto"/>
          <w:spacing w:val="10"/>
          <w:sz w:val="28"/>
          <w:szCs w:val="28"/>
          <w:highlight w:val="none"/>
          <w:lang w:eastAsia="zh-CN"/>
        </w:rPr>
        <w:t>施工内容</w:t>
      </w:r>
      <w:permEnd w:id="37"/>
      <w:r>
        <w:rPr>
          <w:rFonts w:hint="eastAsia" w:ascii="宋体" w:hAnsi="宋体"/>
          <w:b/>
          <w:color w:val="auto"/>
          <w:spacing w:val="10"/>
          <w:sz w:val="28"/>
          <w:szCs w:val="28"/>
          <w:highlight w:val="none"/>
          <w:lang w:eastAsia="zh-CN"/>
        </w:rPr>
        <w:t>劳务分包合同</w:t>
      </w:r>
    </w:p>
    <w:p w14:paraId="3453E213">
      <w:pPr>
        <w:pageBreakBefore w:val="0"/>
        <w:kinsoku/>
        <w:overflowPunct/>
        <w:topLinePunct w:val="0"/>
        <w:autoSpaceDE/>
        <w:autoSpaceDN/>
        <w:bidi w:val="0"/>
        <w:adjustRightInd/>
        <w:spacing w:line="360" w:lineRule="auto"/>
        <w:ind w:left="0" w:firstLine="0" w:firstLineChars="0"/>
        <w:jc w:val="left"/>
        <w:outlineLvl w:val="9"/>
        <w:rPr>
          <w:rFonts w:hint="eastAsia" w:ascii="宋体" w:hAnsi="宋体"/>
          <w:b/>
          <w:color w:val="auto"/>
          <w:spacing w:val="10"/>
          <w:sz w:val="8"/>
          <w:szCs w:val="8"/>
          <w:highlight w:val="none"/>
        </w:rPr>
      </w:pPr>
    </w:p>
    <w:p w14:paraId="0CF47D24">
      <w:pPr>
        <w:keepNext w:val="0"/>
        <w:keepLines w:val="0"/>
        <w:pageBreakBefore w:val="0"/>
        <w:kinsoku/>
        <w:wordWrap/>
        <w:overflowPunct/>
        <w:topLinePunct w:val="0"/>
        <w:autoSpaceDE/>
        <w:autoSpaceDN/>
        <w:bidi w:val="0"/>
        <w:adjustRightInd/>
        <w:snapToGrid/>
        <w:spacing w:line="360" w:lineRule="auto"/>
        <w:ind w:left="0" w:firstLine="0" w:firstLineChars="0"/>
        <w:jc w:val="left"/>
        <w:textAlignment w:val="auto"/>
        <w:outlineLvl w:val="9"/>
        <w:rPr>
          <w:rFonts w:hint="eastAsia" w:ascii="宋体" w:hAnsi="宋体"/>
          <w:color w:val="auto"/>
          <w:spacing w:val="10"/>
          <w:sz w:val="24"/>
          <w:highlight w:val="none"/>
        </w:rPr>
      </w:pPr>
      <w:r>
        <w:rPr>
          <w:rFonts w:hint="eastAsia" w:ascii="宋体" w:hAnsi="宋体"/>
          <w:color w:val="auto"/>
          <w:spacing w:val="10"/>
          <w:sz w:val="24"/>
          <w:highlight w:val="none"/>
        </w:rPr>
        <w:t>甲方：</w:t>
      </w:r>
      <w:r>
        <w:rPr>
          <w:rFonts w:hint="eastAsia" w:ascii="宋体" w:hAnsi="宋体"/>
          <w:color w:val="auto"/>
          <w:spacing w:val="10"/>
          <w:sz w:val="24"/>
          <w:highlight w:val="none"/>
          <w:u w:val="single"/>
        </w:rPr>
        <w:t>福建省工业设备安装有限公司</w:t>
      </w:r>
    </w:p>
    <w:p w14:paraId="349D6C26">
      <w:pPr>
        <w:pStyle w:val="41"/>
        <w:keepNext w:val="0"/>
        <w:keepLines w:val="0"/>
        <w:pageBreakBefore w:val="0"/>
        <w:kinsoku/>
        <w:wordWrap/>
        <w:overflowPunct/>
        <w:topLinePunct w:val="0"/>
        <w:autoSpaceDE/>
        <w:autoSpaceDN/>
        <w:bidi w:val="0"/>
        <w:adjustRightInd/>
        <w:snapToGrid/>
        <w:spacing w:line="360" w:lineRule="auto"/>
        <w:ind w:left="0" w:firstLine="0" w:firstLineChars="0"/>
        <w:jc w:val="left"/>
        <w:textAlignment w:val="auto"/>
        <w:outlineLvl w:val="9"/>
        <w:rPr>
          <w:rFonts w:hint="default" w:ascii="宋体" w:hAnsi="宋体" w:eastAsia="宋体"/>
          <w:color w:val="auto"/>
          <w:spacing w:val="10"/>
          <w:kern w:val="2"/>
          <w:sz w:val="24"/>
          <w:szCs w:val="24"/>
          <w:highlight w:val="none"/>
          <w:u w:val="single"/>
          <w:lang w:val="en-US" w:eastAsia="zh-CN"/>
        </w:rPr>
      </w:pPr>
      <w:r>
        <w:rPr>
          <w:rFonts w:hint="eastAsia" w:ascii="宋体" w:hAnsi="宋体"/>
          <w:color w:val="auto"/>
          <w:spacing w:val="10"/>
          <w:kern w:val="2"/>
          <w:sz w:val="24"/>
          <w:szCs w:val="24"/>
          <w:highlight w:val="none"/>
        </w:rPr>
        <w:t>乙方：</w:t>
      </w:r>
      <w:r>
        <w:rPr>
          <w:rFonts w:hint="eastAsia" w:ascii="宋体" w:hAnsi="宋体"/>
          <w:color w:val="auto"/>
          <w:spacing w:val="10"/>
          <w:kern w:val="2"/>
          <w:sz w:val="24"/>
          <w:szCs w:val="24"/>
          <w:highlight w:val="none"/>
          <w:u w:val="single"/>
          <w:lang w:val="en-US" w:eastAsia="zh-CN"/>
        </w:rPr>
        <w:t xml:space="preserve">                        </w:t>
      </w:r>
    </w:p>
    <w:p w14:paraId="62374151">
      <w:pPr>
        <w:pStyle w:val="41"/>
        <w:pageBreakBefore w:val="0"/>
        <w:kinsoku/>
        <w:overflowPunct/>
        <w:topLinePunct w:val="0"/>
        <w:autoSpaceDE/>
        <w:autoSpaceDN/>
        <w:bidi w:val="0"/>
        <w:adjustRightInd/>
        <w:spacing w:line="360" w:lineRule="auto"/>
        <w:ind w:left="0" w:firstLine="0" w:firstLineChars="0"/>
        <w:jc w:val="left"/>
        <w:outlineLvl w:val="9"/>
        <w:rPr>
          <w:rFonts w:hint="eastAsia" w:ascii="宋体" w:hAnsi="宋体" w:eastAsia="宋体" w:cs="Times New Roman"/>
          <w:color w:val="auto"/>
          <w:spacing w:val="10"/>
          <w:kern w:val="0"/>
          <w:sz w:val="20"/>
          <w:szCs w:val="15"/>
          <w:highlight w:val="none"/>
          <w:lang w:val="en-US" w:eastAsia="zh-CN" w:bidi="ar-SA"/>
        </w:rPr>
      </w:pPr>
    </w:p>
    <w:p w14:paraId="76DE876B">
      <w:pPr>
        <w:keepNext w:val="0"/>
        <w:keepLines w:val="0"/>
        <w:pageBreakBefore w:val="0"/>
        <w:widowControl w:val="0"/>
        <w:kinsoku/>
        <w:wordWrap/>
        <w:overflowPunct/>
        <w:topLinePunct w:val="0"/>
        <w:autoSpaceDE/>
        <w:autoSpaceDN/>
        <w:bidi w:val="0"/>
        <w:adjustRightInd/>
        <w:snapToGrid/>
        <w:spacing w:line="360" w:lineRule="auto"/>
        <w:ind w:left="0" w:firstLine="520" w:firstLineChars="200"/>
        <w:jc w:val="left"/>
        <w:textAlignment w:val="auto"/>
        <w:outlineLvl w:val="9"/>
        <w:rPr>
          <w:rFonts w:hint="eastAsia" w:ascii="宋体" w:hAnsi="宋体"/>
          <w:color w:val="auto"/>
          <w:spacing w:val="10"/>
          <w:sz w:val="24"/>
          <w:highlight w:val="none"/>
        </w:rPr>
      </w:pPr>
      <w:r>
        <w:rPr>
          <w:rFonts w:hint="eastAsia" w:ascii="宋体" w:hAnsi="宋体" w:eastAsia="宋体" w:cs="Times New Roman"/>
          <w:color w:val="auto"/>
          <w:spacing w:val="10"/>
          <w:kern w:val="0"/>
          <w:sz w:val="24"/>
          <w:szCs w:val="20"/>
          <w:highlight w:val="none"/>
          <w:lang w:val="en-US" w:eastAsia="zh-CN" w:bidi="ar-SA"/>
        </w:rPr>
        <w:t>按照国家法规和甲方与业主在</w:t>
      </w:r>
      <w:permStart w:id="38" w:edGrp="everyone"/>
      <w:r>
        <w:rPr>
          <w:rFonts w:hint="eastAsia" w:ascii="宋体" w:hAnsi="宋体" w:cs="Times New Roman"/>
          <w:color w:val="auto"/>
          <w:spacing w:val="10"/>
          <w:kern w:val="0"/>
          <w:sz w:val="24"/>
          <w:szCs w:val="20"/>
          <w:highlight w:val="none"/>
          <w:u w:val="single"/>
          <w:lang w:val="en-US" w:eastAsia="zh-CN" w:bidi="ar-SA"/>
        </w:rPr>
        <w:t>2025年度全厂装置停工检修施工合同</w:t>
      </w:r>
      <w:permEnd w:id="38"/>
      <w:r>
        <w:rPr>
          <w:rFonts w:hint="eastAsia" w:ascii="宋体" w:hAnsi="宋体"/>
          <w:color w:val="auto"/>
          <w:spacing w:val="10"/>
          <w:sz w:val="24"/>
          <w:highlight w:val="none"/>
        </w:rPr>
        <w:t>合同中所确定的原则，结合本项目具体情况，甲方确认</w:t>
      </w:r>
      <w:r>
        <w:rPr>
          <w:rFonts w:hint="eastAsia" w:ascii="宋体" w:hAnsi="宋体"/>
          <w:color w:val="auto"/>
          <w:sz w:val="24"/>
          <w:highlight w:val="none"/>
        </w:rPr>
        <w:t>乙方</w:t>
      </w:r>
      <w:r>
        <w:rPr>
          <w:rFonts w:hint="eastAsia" w:ascii="宋体" w:hAnsi="宋体"/>
          <w:color w:val="auto"/>
          <w:spacing w:val="10"/>
          <w:sz w:val="24"/>
          <w:highlight w:val="none"/>
        </w:rPr>
        <w:t>作为本项目</w:t>
      </w:r>
      <w:permStart w:id="39" w:edGrp="everyone"/>
      <w:r>
        <w:rPr>
          <w:rFonts w:hint="eastAsia" w:ascii="宋体" w:hAnsi="宋体"/>
          <w:color w:val="auto"/>
          <w:spacing w:val="10"/>
          <w:sz w:val="24"/>
          <w:highlight w:val="none"/>
          <w:u w:val="single"/>
        </w:rPr>
        <w:t>隐患消缺中补焊及管道技改</w:t>
      </w:r>
      <w:r>
        <w:rPr>
          <w:rFonts w:hint="eastAsia" w:ascii="宋体" w:hAnsi="宋体"/>
          <w:color w:val="auto"/>
          <w:spacing w:val="10"/>
          <w:sz w:val="24"/>
          <w:highlight w:val="none"/>
          <w:u w:val="single"/>
          <w:lang w:val="en-US" w:eastAsia="zh-CN"/>
        </w:rPr>
        <w:t>等</w:t>
      </w:r>
      <w:r>
        <w:rPr>
          <w:rFonts w:hint="eastAsia" w:ascii="宋体" w:hAnsi="宋体"/>
          <w:color w:val="auto"/>
          <w:spacing w:val="10"/>
          <w:sz w:val="24"/>
          <w:highlight w:val="none"/>
          <w:u w:val="single"/>
        </w:rPr>
        <w:t>施工内容</w:t>
      </w:r>
      <w:permEnd w:id="39"/>
      <w:r>
        <w:rPr>
          <w:rFonts w:hint="eastAsia" w:ascii="宋体" w:hAnsi="宋体"/>
          <w:color w:val="auto"/>
          <w:spacing w:val="10"/>
          <w:sz w:val="24"/>
          <w:highlight w:val="none"/>
        </w:rPr>
        <w:t>的分包方，并经甲乙双方协商，签订以下合同条款，以共同遵守。</w:t>
      </w:r>
    </w:p>
    <w:p w14:paraId="29E3071B">
      <w:pPr>
        <w:pageBreakBefore w:val="0"/>
        <w:kinsoku/>
        <w:overflowPunct/>
        <w:topLinePunct w:val="0"/>
        <w:autoSpaceDE/>
        <w:autoSpaceDN/>
        <w:bidi w:val="0"/>
        <w:adjustRightInd/>
        <w:spacing w:line="360" w:lineRule="auto"/>
        <w:ind w:left="0" w:firstLine="0" w:firstLineChars="0"/>
        <w:jc w:val="left"/>
        <w:outlineLvl w:val="9"/>
        <w:rPr>
          <w:rFonts w:hint="eastAsia" w:ascii="宋体" w:hAnsi="宋体"/>
          <w:b/>
          <w:color w:val="auto"/>
          <w:spacing w:val="10"/>
          <w:sz w:val="24"/>
          <w:highlight w:val="none"/>
        </w:rPr>
      </w:pPr>
      <w:r>
        <w:rPr>
          <w:rFonts w:hint="eastAsia" w:ascii="宋体" w:hAnsi="宋体"/>
          <w:b/>
          <w:color w:val="auto"/>
          <w:spacing w:val="10"/>
          <w:sz w:val="24"/>
          <w:highlight w:val="none"/>
        </w:rPr>
        <w:t>第一条</w:t>
      </w:r>
      <w:r>
        <w:rPr>
          <w:rFonts w:hint="eastAsia" w:ascii="宋体" w:hAnsi="宋体"/>
          <w:b/>
          <w:color w:val="auto"/>
          <w:spacing w:val="10"/>
          <w:sz w:val="24"/>
          <w:highlight w:val="none"/>
          <w:lang w:val="en-US" w:eastAsia="zh-CN"/>
        </w:rPr>
        <w:t xml:space="preserve">  </w:t>
      </w:r>
      <w:r>
        <w:rPr>
          <w:rFonts w:hint="eastAsia" w:ascii="宋体" w:hAnsi="宋体"/>
          <w:b/>
          <w:color w:val="auto"/>
          <w:spacing w:val="10"/>
          <w:sz w:val="24"/>
          <w:highlight w:val="none"/>
        </w:rPr>
        <w:t>项目概况</w:t>
      </w:r>
    </w:p>
    <w:p w14:paraId="1E9B415B">
      <w:pPr>
        <w:keepNext w:val="0"/>
        <w:keepLines w:val="0"/>
        <w:pageBreakBefore w:val="0"/>
        <w:widowControl w:val="0"/>
        <w:kinsoku/>
        <w:wordWrap/>
        <w:overflowPunct/>
        <w:topLinePunct w:val="0"/>
        <w:autoSpaceDE/>
        <w:autoSpaceDN/>
        <w:bidi w:val="0"/>
        <w:adjustRightInd/>
        <w:snapToGrid/>
        <w:spacing w:line="360" w:lineRule="auto"/>
        <w:ind w:left="0" w:firstLine="520" w:firstLineChars="200"/>
        <w:jc w:val="left"/>
        <w:textAlignment w:val="auto"/>
        <w:outlineLvl w:val="9"/>
        <w:rPr>
          <w:rFonts w:hint="default" w:ascii="宋体" w:hAnsi="宋体" w:eastAsia="宋体"/>
          <w:color w:val="auto"/>
          <w:spacing w:val="10"/>
          <w:sz w:val="24"/>
          <w:highlight w:val="none"/>
          <w:u w:val="single"/>
          <w:lang w:val="en-US" w:eastAsia="zh-CN"/>
        </w:rPr>
      </w:pPr>
      <w:r>
        <w:rPr>
          <w:rFonts w:hint="eastAsia" w:ascii="宋体" w:hAnsi="宋体"/>
          <w:color w:val="auto"/>
          <w:spacing w:val="10"/>
          <w:sz w:val="24"/>
          <w:highlight w:val="none"/>
        </w:rPr>
        <w:t>1.1项目名称：</w:t>
      </w:r>
      <w:permStart w:id="40" w:edGrp="everyone"/>
      <w:r>
        <w:rPr>
          <w:rFonts w:hint="eastAsia" w:ascii="宋体" w:hAnsi="宋体"/>
          <w:color w:val="auto"/>
          <w:spacing w:val="10"/>
          <w:sz w:val="24"/>
          <w:highlight w:val="none"/>
          <w:u w:val="single"/>
          <w:lang w:eastAsia="zh-CN"/>
        </w:rPr>
        <w:t>浙石化2025炼油芳烃事业部大修(1#气提、2#硫磺、4#硫磺)项目隐患消缺中补焊及管道技改</w:t>
      </w:r>
      <w:r>
        <w:rPr>
          <w:rFonts w:hint="eastAsia" w:ascii="宋体" w:hAnsi="宋体"/>
          <w:color w:val="auto"/>
          <w:spacing w:val="10"/>
          <w:sz w:val="24"/>
          <w:highlight w:val="none"/>
          <w:u w:val="single"/>
          <w:lang w:val="en-US" w:eastAsia="zh-CN"/>
        </w:rPr>
        <w:t>等</w:t>
      </w:r>
      <w:r>
        <w:rPr>
          <w:rFonts w:hint="eastAsia" w:ascii="宋体" w:hAnsi="宋体"/>
          <w:color w:val="auto"/>
          <w:spacing w:val="10"/>
          <w:sz w:val="24"/>
          <w:highlight w:val="none"/>
          <w:u w:val="single"/>
          <w:lang w:eastAsia="zh-CN"/>
        </w:rPr>
        <w:t>施工内容</w:t>
      </w:r>
      <w:permEnd w:id="40"/>
    </w:p>
    <w:p w14:paraId="4A1887F4">
      <w:pPr>
        <w:keepNext w:val="0"/>
        <w:keepLines w:val="0"/>
        <w:pageBreakBefore w:val="0"/>
        <w:widowControl w:val="0"/>
        <w:kinsoku/>
        <w:wordWrap/>
        <w:overflowPunct/>
        <w:topLinePunct w:val="0"/>
        <w:autoSpaceDE/>
        <w:autoSpaceDN/>
        <w:bidi w:val="0"/>
        <w:adjustRightInd/>
        <w:snapToGrid/>
        <w:spacing w:line="360" w:lineRule="auto"/>
        <w:ind w:left="0" w:firstLine="520" w:firstLineChars="200"/>
        <w:jc w:val="left"/>
        <w:textAlignment w:val="auto"/>
        <w:outlineLvl w:val="9"/>
        <w:rPr>
          <w:rFonts w:hint="eastAsia" w:ascii="宋体" w:hAnsi="宋体"/>
          <w:color w:val="auto"/>
          <w:spacing w:val="10"/>
          <w:sz w:val="24"/>
          <w:highlight w:val="none"/>
        </w:rPr>
      </w:pPr>
      <w:r>
        <w:rPr>
          <w:rFonts w:hint="eastAsia" w:ascii="宋体" w:hAnsi="宋体"/>
          <w:color w:val="auto"/>
          <w:spacing w:val="10"/>
          <w:sz w:val="24"/>
          <w:highlight w:val="none"/>
        </w:rPr>
        <w:t>1.2项目地点：</w:t>
      </w:r>
      <w:r>
        <w:rPr>
          <w:rFonts w:hint="eastAsia" w:ascii="宋体" w:hAnsi="宋体"/>
          <w:color w:val="auto"/>
          <w:spacing w:val="10"/>
          <w:sz w:val="24"/>
          <w:highlight w:val="none"/>
          <w:u w:val="single"/>
        </w:rPr>
        <w:t>浙江舟山鱼山岛</w:t>
      </w:r>
    </w:p>
    <w:p w14:paraId="596CA48B">
      <w:pPr>
        <w:keepNext w:val="0"/>
        <w:keepLines w:val="0"/>
        <w:pageBreakBefore w:val="0"/>
        <w:widowControl w:val="0"/>
        <w:kinsoku/>
        <w:wordWrap/>
        <w:overflowPunct/>
        <w:topLinePunct w:val="0"/>
        <w:autoSpaceDE/>
        <w:autoSpaceDN/>
        <w:bidi w:val="0"/>
        <w:adjustRightInd/>
        <w:snapToGrid/>
        <w:spacing w:line="360" w:lineRule="auto"/>
        <w:ind w:left="0" w:firstLine="520" w:firstLineChars="200"/>
        <w:jc w:val="left"/>
        <w:textAlignment w:val="auto"/>
        <w:outlineLvl w:val="9"/>
        <w:rPr>
          <w:rFonts w:hint="default" w:ascii="宋体" w:hAnsi="宋体" w:eastAsia="宋体" w:cs="宋体"/>
          <w:spacing w:val="-3"/>
          <w:sz w:val="24"/>
          <w:szCs w:val="24"/>
          <w:lang w:val="en-US" w:eastAsia="zh-CN"/>
        </w:rPr>
      </w:pPr>
      <w:r>
        <w:rPr>
          <w:rFonts w:hint="eastAsia" w:ascii="宋体" w:hAnsi="宋体"/>
          <w:color w:val="auto"/>
          <w:spacing w:val="10"/>
          <w:sz w:val="24"/>
          <w:highlight w:val="none"/>
        </w:rPr>
        <w:t>1.3项目内容与范围：</w:t>
      </w:r>
      <w:permStart w:id="41" w:edGrp="everyone"/>
      <w:r>
        <w:rPr>
          <w:rFonts w:hint="eastAsia" w:ascii="宋体" w:hAnsi="宋体" w:cs="宋体"/>
          <w:spacing w:val="-2"/>
          <w:sz w:val="24"/>
          <w:szCs w:val="24"/>
          <w:highlight w:val="none"/>
          <w:lang w:val="en-US" w:eastAsia="zh-CN"/>
        </w:rPr>
        <w:t>隐患消缺中补焊及管道技改等</w:t>
      </w:r>
      <w:r>
        <w:rPr>
          <w:rFonts w:hint="eastAsia" w:ascii="宋体" w:hAnsi="宋体" w:eastAsia="宋体" w:cs="宋体"/>
          <w:i w:val="0"/>
          <w:iCs w:val="0"/>
          <w:caps w:val="0"/>
          <w:spacing w:val="-2"/>
          <w:sz w:val="24"/>
          <w:szCs w:val="24"/>
          <w:highlight w:val="none"/>
        </w:rPr>
        <w:t>。</w:t>
      </w:r>
      <w:permEnd w:id="41"/>
      <w:r>
        <w:rPr>
          <w:rFonts w:hint="eastAsia" w:ascii="宋体" w:hAnsi="宋体"/>
          <w:color w:val="auto"/>
          <w:spacing w:val="10"/>
          <w:sz w:val="24"/>
          <w:highlight w:val="none"/>
        </w:rPr>
        <w:t>具体工作内容详见工程量清单。</w:t>
      </w:r>
    </w:p>
    <w:p w14:paraId="117191C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Arial"/>
          <w:color w:val="auto"/>
          <w:sz w:val="24"/>
          <w:highlight w:val="none"/>
        </w:rPr>
      </w:pPr>
      <w:r>
        <w:rPr>
          <w:rFonts w:hint="eastAsia" w:ascii="宋体" w:hAnsi="宋体" w:eastAsia="宋体" w:cs="宋体"/>
          <w:sz w:val="24"/>
          <w:szCs w:val="24"/>
        </w:rPr>
        <w:t>1.4 工程质量等级：</w:t>
      </w:r>
      <w:permStart w:id="42" w:edGrp="everyone"/>
      <w:r>
        <w:rPr>
          <w:rFonts w:hint="eastAsia" w:ascii="宋体" w:hAnsi="宋体" w:eastAsia="宋体" w:cs="宋体"/>
          <w:sz w:val="24"/>
          <w:szCs w:val="24"/>
        </w:rPr>
        <w:t>合格</w:t>
      </w:r>
      <w:permEnd w:id="42"/>
      <w:r>
        <w:rPr>
          <w:rFonts w:hint="eastAsia" w:ascii="宋体" w:hAnsi="宋体" w:eastAsia="宋体" w:cs="宋体"/>
          <w:sz w:val="24"/>
          <w:szCs w:val="24"/>
        </w:rPr>
        <w:t>。</w:t>
      </w:r>
    </w:p>
    <w:p w14:paraId="34BD10AB">
      <w:pPr>
        <w:pageBreakBefore w:val="0"/>
        <w:kinsoku/>
        <w:overflowPunct/>
        <w:topLinePunct w:val="0"/>
        <w:autoSpaceDE/>
        <w:autoSpaceDN/>
        <w:bidi w:val="0"/>
        <w:adjustRightInd/>
        <w:spacing w:line="360" w:lineRule="auto"/>
        <w:ind w:left="0" w:firstLine="0" w:firstLineChars="0"/>
        <w:jc w:val="left"/>
        <w:outlineLvl w:val="9"/>
        <w:rPr>
          <w:rFonts w:hint="eastAsia" w:ascii="宋体" w:hAnsi="宋体"/>
          <w:b/>
          <w:color w:val="auto"/>
          <w:spacing w:val="10"/>
          <w:sz w:val="24"/>
          <w:highlight w:val="none"/>
        </w:rPr>
      </w:pPr>
      <w:r>
        <w:rPr>
          <w:rFonts w:hint="eastAsia" w:ascii="宋体" w:hAnsi="宋体"/>
          <w:b/>
          <w:color w:val="auto"/>
          <w:spacing w:val="10"/>
          <w:sz w:val="24"/>
          <w:highlight w:val="none"/>
        </w:rPr>
        <w:t xml:space="preserve">第二条 </w:t>
      </w:r>
      <w:r>
        <w:rPr>
          <w:rFonts w:hint="eastAsia" w:ascii="宋体" w:hAnsi="宋体"/>
          <w:b/>
          <w:color w:val="auto"/>
          <w:spacing w:val="10"/>
          <w:sz w:val="24"/>
          <w:highlight w:val="none"/>
          <w:lang w:val="en-US" w:eastAsia="zh-CN"/>
        </w:rPr>
        <w:t xml:space="preserve"> </w:t>
      </w:r>
      <w:r>
        <w:rPr>
          <w:rFonts w:hint="eastAsia" w:ascii="宋体" w:hAnsi="宋体"/>
          <w:b/>
          <w:color w:val="auto"/>
          <w:spacing w:val="10"/>
          <w:sz w:val="24"/>
          <w:highlight w:val="none"/>
        </w:rPr>
        <w:t>分包造价与承包方式：</w:t>
      </w:r>
    </w:p>
    <w:p w14:paraId="64FE8F18">
      <w:pPr>
        <w:keepNext w:val="0"/>
        <w:keepLines w:val="0"/>
        <w:pageBreakBefore w:val="0"/>
        <w:widowControl w:val="0"/>
        <w:kinsoku/>
        <w:wordWrap/>
        <w:overflowPunct/>
        <w:topLinePunct w:val="0"/>
        <w:autoSpaceDE/>
        <w:autoSpaceDN/>
        <w:bidi w:val="0"/>
        <w:adjustRightInd/>
        <w:snapToGrid/>
        <w:spacing w:line="360" w:lineRule="auto"/>
        <w:ind w:left="0" w:firstLine="520" w:firstLineChars="200"/>
        <w:jc w:val="left"/>
        <w:textAlignment w:val="auto"/>
        <w:outlineLvl w:val="9"/>
        <w:rPr>
          <w:rFonts w:hint="default" w:ascii="宋体" w:hAnsi="宋体" w:eastAsia="宋体"/>
          <w:color w:val="auto"/>
          <w:sz w:val="24"/>
          <w:szCs w:val="24"/>
          <w:highlight w:val="none"/>
          <w:lang w:val="en-US" w:eastAsia="zh-CN"/>
        </w:rPr>
      </w:pPr>
      <w:r>
        <w:rPr>
          <w:rFonts w:hint="eastAsia" w:ascii="宋体" w:hAnsi="宋体"/>
          <w:color w:val="auto"/>
          <w:spacing w:val="10"/>
          <w:sz w:val="24"/>
          <w:szCs w:val="24"/>
          <w:highlight w:val="none"/>
        </w:rPr>
        <w:t>2.1</w:t>
      </w:r>
      <w:r>
        <w:rPr>
          <w:rFonts w:hint="eastAsia" w:ascii="宋体" w:hAnsi="宋体"/>
          <w:color w:val="auto"/>
          <w:spacing w:val="10"/>
          <w:sz w:val="24"/>
          <w:szCs w:val="24"/>
          <w:highlight w:val="none"/>
          <w:lang w:val="en-US" w:eastAsia="zh-CN"/>
        </w:rPr>
        <w:t>含税</w:t>
      </w:r>
      <w:r>
        <w:rPr>
          <w:rFonts w:hint="eastAsia" w:ascii="宋体" w:hAnsi="宋体"/>
          <w:color w:val="auto"/>
          <w:spacing w:val="10"/>
          <w:sz w:val="24"/>
          <w:szCs w:val="24"/>
          <w:highlight w:val="none"/>
        </w:rPr>
        <w:t>合同</w:t>
      </w:r>
      <w:r>
        <w:rPr>
          <w:rFonts w:hint="eastAsia" w:ascii="宋体" w:hAnsi="宋体"/>
          <w:color w:val="auto"/>
          <w:spacing w:val="10"/>
          <w:sz w:val="24"/>
          <w:szCs w:val="24"/>
          <w:highlight w:val="none"/>
          <w:lang w:val="en-US" w:eastAsia="zh-CN"/>
        </w:rPr>
        <w:t>暂估</w:t>
      </w:r>
      <w:r>
        <w:rPr>
          <w:rFonts w:hint="eastAsia" w:ascii="宋体" w:hAnsi="宋体"/>
          <w:color w:val="auto"/>
          <w:sz w:val="24"/>
          <w:szCs w:val="24"/>
          <w:highlight w:val="none"/>
        </w:rPr>
        <w:t>价大写：</w:t>
      </w:r>
      <w:r>
        <w:rPr>
          <w:rFonts w:hint="eastAsia" w:ascii="宋体" w:hAnsi="宋体"/>
          <w:color w:val="auto"/>
          <w:sz w:val="24"/>
          <w:szCs w:val="24"/>
          <w:highlight w:val="none"/>
          <w:u w:val="none"/>
        </w:rPr>
        <w:t>人民币</w:t>
      </w:r>
      <w:r>
        <w:rPr>
          <w:rFonts w:hint="eastAsia" w:ascii="宋体" w:hAnsi="宋体"/>
          <w:color w:val="auto"/>
          <w:sz w:val="24"/>
          <w:szCs w:val="24"/>
          <w:highlight w:val="none"/>
          <w:u w:val="single"/>
          <w:lang w:val="en-US" w:eastAsia="zh-CN"/>
        </w:rPr>
        <w:t xml:space="preserve">           </w:t>
      </w:r>
      <w:r>
        <w:rPr>
          <w:rFonts w:hint="eastAsia" w:ascii="宋体" w:hAnsi="宋体" w:cs="Times New Roman"/>
          <w:color w:val="auto"/>
          <w:sz w:val="24"/>
          <w:szCs w:val="24"/>
          <w:highlight w:val="none"/>
          <w:u w:val="single"/>
          <w:lang w:val="en-US" w:eastAsia="zh-CN"/>
        </w:rPr>
        <w:t xml:space="preserve"> </w:t>
      </w:r>
      <w:r>
        <w:rPr>
          <w:rFonts w:hint="eastAsia" w:ascii="宋体" w:hAnsi="宋体"/>
          <w:color w:val="auto"/>
          <w:sz w:val="24"/>
          <w:szCs w:val="24"/>
          <w:highlight w:val="none"/>
          <w:lang w:eastAsia="zh-CN"/>
        </w:rPr>
        <w:t>，</w:t>
      </w:r>
      <w:r>
        <w:rPr>
          <w:rFonts w:hint="eastAsia" w:ascii="宋体" w:hAnsi="宋体"/>
          <w:color w:val="auto"/>
          <w:sz w:val="24"/>
          <w:szCs w:val="24"/>
          <w:highlight w:val="none"/>
        </w:rPr>
        <w:t>小写：</w:t>
      </w:r>
      <w:r>
        <w:rPr>
          <w:rFonts w:ascii="宋体" w:hAnsi="宋体"/>
          <w:color w:val="auto"/>
          <w:sz w:val="24"/>
          <w:szCs w:val="24"/>
          <w:highlight w:val="none"/>
          <w:u w:val="none"/>
        </w:rPr>
        <w:t>¥</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元</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其中3%增值税税金：</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lang w:val="en-US" w:eastAsia="zh-CN"/>
        </w:rPr>
        <w:t>元，</w:t>
      </w:r>
      <w:r>
        <w:rPr>
          <w:rFonts w:hint="eastAsia" w:ascii="宋体" w:hAnsi="宋体"/>
          <w:color w:val="auto"/>
          <w:sz w:val="24"/>
          <w:szCs w:val="24"/>
          <w:highlight w:val="none"/>
        </w:rPr>
        <w:t>不含税</w:t>
      </w:r>
      <w:r>
        <w:rPr>
          <w:rFonts w:hint="eastAsia" w:ascii="宋体" w:hAnsi="宋体"/>
          <w:color w:val="auto"/>
          <w:sz w:val="24"/>
          <w:szCs w:val="24"/>
          <w:highlight w:val="none"/>
          <w:lang w:val="en-US" w:eastAsia="zh-CN"/>
        </w:rPr>
        <w:t>合同</w:t>
      </w:r>
      <w:r>
        <w:rPr>
          <w:rFonts w:hint="eastAsia" w:ascii="宋体" w:hAnsi="宋体"/>
          <w:color w:val="auto"/>
          <w:sz w:val="24"/>
          <w:szCs w:val="24"/>
          <w:highlight w:val="none"/>
        </w:rPr>
        <w:t>价：</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元</w:t>
      </w:r>
      <w:r>
        <w:rPr>
          <w:rFonts w:hint="eastAsia" w:ascii="宋体" w:hAnsi="宋体"/>
          <w:color w:val="auto"/>
          <w:sz w:val="24"/>
          <w:szCs w:val="24"/>
          <w:highlight w:val="none"/>
          <w:lang w:val="en-US" w:eastAsia="zh-CN"/>
        </w:rPr>
        <w:t>。</w:t>
      </w:r>
    </w:p>
    <w:p w14:paraId="1A8B0A7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outlineLvl w:val="9"/>
        <w:rPr>
          <w:rFonts w:hint="eastAsia" w:ascii="宋体" w:hAnsi="宋体" w:cs="Arial"/>
          <w:color w:val="auto"/>
          <w:sz w:val="24"/>
          <w:highlight w:val="none"/>
        </w:rPr>
      </w:pPr>
      <w:r>
        <w:rPr>
          <w:rFonts w:hint="eastAsia" w:ascii="宋体" w:hAnsi="宋体" w:cs="Arial"/>
          <w:color w:val="auto"/>
          <w:sz w:val="24"/>
          <w:highlight w:val="none"/>
        </w:rPr>
        <w:t>本暂估价仅为预估，</w:t>
      </w:r>
      <w:r>
        <w:rPr>
          <w:rFonts w:hint="eastAsia" w:ascii="宋体" w:hAnsi="宋体" w:eastAsia="宋体" w:cs="Arial"/>
          <w:color w:val="auto"/>
          <w:sz w:val="24"/>
          <w:highlight w:val="none"/>
        </w:rPr>
        <w:t>按实结算。如</w:t>
      </w:r>
      <w:r>
        <w:rPr>
          <w:rFonts w:hint="eastAsia" w:ascii="宋体" w:hAnsi="宋体" w:cs="Arial"/>
          <w:color w:val="auto"/>
          <w:sz w:val="24"/>
          <w:highlight w:val="none"/>
        </w:rPr>
        <w:t>果乙方实际施工量有可能超出暂估金额时，则乙方应提前申报并签订补充协议，否则甲方有权拒绝支付超额工程款及违约金。如结算价达不到预估价，乙方亦不得据此要求调整计价方式或提出其它诉求。</w:t>
      </w:r>
    </w:p>
    <w:p w14:paraId="13D0CFA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outlineLvl w:val="9"/>
        <w:rPr>
          <w:rFonts w:hint="default" w:ascii="宋体" w:hAnsi="宋体"/>
          <w:color w:val="auto"/>
          <w:sz w:val="24"/>
          <w:highlight w:val="none"/>
          <w:lang w:val="en-US" w:eastAsia="zh-CN"/>
        </w:rPr>
      </w:pPr>
      <w:r>
        <w:rPr>
          <w:rFonts w:hint="eastAsia" w:ascii="宋体" w:hAnsi="宋体"/>
          <w:color w:val="auto"/>
          <w:sz w:val="24"/>
          <w:highlight w:val="none"/>
          <w:lang w:val="en-US" w:eastAsia="zh-CN"/>
        </w:rPr>
        <w:t>2.2 计价依据：</w:t>
      </w:r>
      <w:r>
        <w:rPr>
          <w:rFonts w:hint="eastAsia" w:ascii="宋体" w:hAnsi="宋体"/>
          <w:b/>
          <w:bCs/>
          <w:color w:val="auto"/>
          <w:sz w:val="24"/>
          <w:highlight w:val="none"/>
          <w:lang w:val="en-US" w:eastAsia="zh-CN"/>
        </w:rPr>
        <w:t>详见附件1工程量清单。</w:t>
      </w:r>
    </w:p>
    <w:p w14:paraId="782933E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outlineLvl w:val="9"/>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2.2.1 承包方式：</w:t>
      </w:r>
      <w:permStart w:id="43" w:edGrp="everyone"/>
      <w:r>
        <w:rPr>
          <w:rFonts w:hint="eastAsia" w:ascii="宋体" w:hAnsi="宋体"/>
          <w:color w:val="auto"/>
          <w:sz w:val="24"/>
          <w:highlight w:val="none"/>
          <w:lang w:val="en-US" w:eastAsia="zh-CN"/>
        </w:rPr>
        <w:t>综合单价或包干，按实结算</w:t>
      </w:r>
    </w:p>
    <w:p w14:paraId="0C5EFA1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outlineLvl w:val="9"/>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如果乙方单价合同实际施工量有可能超出暂估金额时，则乙方应提前申报并签订补充协议，否则甲方有权利拒绝支付超额工程款及违约金。如结算价达不到预估价，乙方亦不得据此要求调整计价方式或提出其它诉求</w:t>
      </w:r>
      <w:permEnd w:id="43"/>
      <w:r>
        <w:rPr>
          <w:rFonts w:hint="eastAsia" w:ascii="宋体" w:hAnsi="宋体"/>
          <w:color w:val="auto"/>
          <w:sz w:val="24"/>
          <w:highlight w:val="none"/>
          <w:lang w:val="en-US" w:eastAsia="zh-CN"/>
        </w:rPr>
        <w:t>，乙方提供</w:t>
      </w:r>
      <w:permStart w:id="44" w:edGrp="everyone"/>
      <w:r>
        <w:rPr>
          <w:rFonts w:hint="eastAsia" w:ascii="宋体" w:hAnsi="宋体"/>
          <w:color w:val="auto"/>
          <w:sz w:val="24"/>
          <w:highlight w:val="none"/>
          <w:lang w:val="en-US" w:eastAsia="zh-CN"/>
        </w:rPr>
        <w:t>3%增值税</w:t>
      </w:r>
      <w:permEnd w:id="44"/>
      <w:r>
        <w:rPr>
          <w:rFonts w:hint="eastAsia" w:ascii="宋体" w:hAnsi="宋体"/>
          <w:color w:val="auto"/>
          <w:sz w:val="24"/>
          <w:highlight w:val="none"/>
          <w:lang w:val="en-US" w:eastAsia="zh-CN"/>
        </w:rPr>
        <w:t>专用发票。</w:t>
      </w:r>
    </w:p>
    <w:p w14:paraId="189D9C72">
      <w:pPr>
        <w:keepNext w:val="0"/>
        <w:keepLines w:val="0"/>
        <w:pageBreakBefore w:val="0"/>
        <w:widowControl w:val="0"/>
        <w:kinsoku/>
        <w:wordWrap/>
        <w:overflowPunct/>
        <w:topLinePunct w:val="0"/>
        <w:autoSpaceDE/>
        <w:autoSpaceDN/>
        <w:bidi w:val="0"/>
        <w:adjustRightInd/>
        <w:snapToGrid w:val="0"/>
        <w:spacing w:line="408" w:lineRule="auto"/>
        <w:ind w:left="0" w:leftChars="0" w:firstLine="480" w:firstLineChars="200"/>
        <w:jc w:val="left"/>
        <w:textAlignment w:val="auto"/>
        <w:outlineLvl w:val="9"/>
        <w:rPr>
          <w:rFonts w:hint="default" w:ascii="宋体" w:hAnsi="宋体"/>
          <w:color w:val="auto"/>
          <w:sz w:val="24"/>
          <w:highlight w:val="none"/>
          <w:lang w:val="en-US" w:eastAsia="zh-CN"/>
        </w:rPr>
      </w:pPr>
      <w:r>
        <w:rPr>
          <w:rFonts w:hint="default" w:ascii="宋体" w:hAnsi="宋体"/>
          <w:color w:val="auto"/>
          <w:sz w:val="24"/>
          <w:highlight w:val="none"/>
          <w:lang w:val="en-US" w:eastAsia="zh-CN"/>
        </w:rPr>
        <w:t>注：特殊工种，需持证上岗且为国家机构认证，浙石化考核合格。</w:t>
      </w:r>
    </w:p>
    <w:p w14:paraId="206B2418">
      <w:pPr>
        <w:keepNext w:val="0"/>
        <w:keepLines w:val="0"/>
        <w:pageBreakBefore w:val="0"/>
        <w:widowControl w:val="0"/>
        <w:kinsoku/>
        <w:wordWrap/>
        <w:overflowPunct/>
        <w:topLinePunct w:val="0"/>
        <w:autoSpaceDE/>
        <w:autoSpaceDN/>
        <w:bidi w:val="0"/>
        <w:adjustRightInd/>
        <w:snapToGrid w:val="0"/>
        <w:spacing w:line="408" w:lineRule="auto"/>
        <w:ind w:left="0" w:leftChars="0" w:firstLine="480" w:firstLineChars="200"/>
        <w:jc w:val="left"/>
        <w:textAlignment w:val="auto"/>
        <w:outlineLvl w:val="9"/>
        <w:rPr>
          <w:rFonts w:hint="default" w:ascii="宋体" w:hAnsi="宋体"/>
          <w:color w:val="auto"/>
          <w:sz w:val="24"/>
          <w:highlight w:val="none"/>
          <w:lang w:val="en-US" w:eastAsia="zh-CN"/>
        </w:rPr>
      </w:pPr>
      <w:r>
        <w:rPr>
          <w:rFonts w:hint="default" w:ascii="宋体" w:hAnsi="宋体"/>
          <w:color w:val="auto"/>
          <w:sz w:val="24"/>
          <w:highlight w:val="none"/>
          <w:lang w:val="en-US" w:eastAsia="zh-CN"/>
        </w:rPr>
        <w:t>1、项目地址：浙江省舟山市岱山县鱼山岛；</w:t>
      </w:r>
    </w:p>
    <w:p w14:paraId="4AA3D34A">
      <w:pPr>
        <w:keepNext w:val="0"/>
        <w:keepLines w:val="0"/>
        <w:pageBreakBefore w:val="0"/>
        <w:widowControl w:val="0"/>
        <w:kinsoku/>
        <w:wordWrap/>
        <w:overflowPunct/>
        <w:topLinePunct w:val="0"/>
        <w:autoSpaceDE/>
        <w:autoSpaceDN/>
        <w:bidi w:val="0"/>
        <w:adjustRightInd/>
        <w:snapToGrid w:val="0"/>
        <w:spacing w:line="408" w:lineRule="auto"/>
        <w:ind w:left="0" w:leftChars="0" w:firstLine="480" w:firstLineChars="200"/>
        <w:jc w:val="left"/>
        <w:textAlignment w:val="auto"/>
        <w:outlineLvl w:val="9"/>
        <w:rPr>
          <w:rFonts w:hint="default" w:ascii="宋体" w:hAnsi="宋体"/>
          <w:color w:val="auto"/>
          <w:sz w:val="24"/>
          <w:highlight w:val="none"/>
          <w:lang w:val="en-US" w:eastAsia="zh-CN"/>
        </w:rPr>
      </w:pPr>
      <w:r>
        <w:rPr>
          <w:rFonts w:hint="default" w:ascii="宋体" w:hAnsi="宋体"/>
          <w:color w:val="auto"/>
          <w:sz w:val="24"/>
          <w:highlight w:val="none"/>
          <w:lang w:val="en-US" w:eastAsia="zh-CN"/>
        </w:rPr>
        <w:t>2、报价含包含从施工准备至交工验收全过程所需之一切人工（包括工人工资、加班费、由个人和用人单位承担的社会保险费、年休假工资、合同终止/解除经济补偿金、劳务管理费、人员进退场费、职工福利费、教育经费、工会经费等）、机具、大型械、晚间及节假日加班费、卸车、二次倒运、材料退库、存储及相关等措施费用、铁丝网、沾钉等工程所需的一切辅材及耗材、水电费、劳保用品、食宿、交通、加班送餐、暂住证与识别证办证费、保险、施工措施费（包括所需材料：如枕木、临时拉风绳、加固支撑等、安全文明施工费（含安全网、安全带等）、材料及成品、半成品保护措施费、冬雨季施工措施费、高空施工安全措施费等各种施工措施费、管理费、劳务分包管理费、税金和附加费等及作为有经验的单位应当预见到的为完成本项目所需的工作所需的费用及风险等费用；</w:t>
      </w:r>
    </w:p>
    <w:p w14:paraId="29EFEFB1">
      <w:pPr>
        <w:keepNext w:val="0"/>
        <w:keepLines w:val="0"/>
        <w:pageBreakBefore w:val="0"/>
        <w:widowControl w:val="0"/>
        <w:kinsoku/>
        <w:wordWrap/>
        <w:overflowPunct/>
        <w:topLinePunct w:val="0"/>
        <w:autoSpaceDE/>
        <w:autoSpaceDN/>
        <w:bidi w:val="0"/>
        <w:adjustRightInd/>
        <w:snapToGrid w:val="0"/>
        <w:spacing w:line="408" w:lineRule="auto"/>
        <w:ind w:left="0" w:leftChars="0" w:firstLine="480" w:firstLineChars="200"/>
        <w:jc w:val="left"/>
        <w:textAlignment w:val="auto"/>
        <w:outlineLvl w:val="9"/>
        <w:rPr>
          <w:rFonts w:hint="default" w:ascii="宋体" w:hAnsi="宋体"/>
          <w:color w:val="auto"/>
          <w:sz w:val="24"/>
          <w:highlight w:val="none"/>
          <w:lang w:val="en-US" w:eastAsia="zh-CN"/>
        </w:rPr>
      </w:pPr>
      <w:r>
        <w:rPr>
          <w:rFonts w:hint="default" w:ascii="宋体" w:hAnsi="宋体"/>
          <w:color w:val="auto"/>
          <w:sz w:val="24"/>
          <w:highlight w:val="none"/>
          <w:lang w:val="en-US" w:eastAsia="zh-CN"/>
        </w:rPr>
        <w:t>3、零星用工（签证人工）的单价（含税完全单价）按200元/工日（不论工种）结算；</w:t>
      </w:r>
    </w:p>
    <w:p w14:paraId="5819A86A">
      <w:pPr>
        <w:keepNext w:val="0"/>
        <w:keepLines w:val="0"/>
        <w:pageBreakBefore w:val="0"/>
        <w:widowControl w:val="0"/>
        <w:kinsoku/>
        <w:wordWrap/>
        <w:overflowPunct/>
        <w:topLinePunct w:val="0"/>
        <w:autoSpaceDE/>
        <w:autoSpaceDN/>
        <w:bidi w:val="0"/>
        <w:adjustRightInd/>
        <w:snapToGrid w:val="0"/>
        <w:spacing w:line="408" w:lineRule="auto"/>
        <w:ind w:left="0" w:leftChars="0" w:firstLine="480" w:firstLineChars="200"/>
        <w:jc w:val="left"/>
        <w:textAlignment w:val="auto"/>
        <w:outlineLvl w:val="9"/>
        <w:rPr>
          <w:rFonts w:hint="default" w:ascii="宋体" w:hAnsi="宋体"/>
          <w:color w:val="auto"/>
          <w:sz w:val="24"/>
          <w:highlight w:val="none"/>
          <w:lang w:val="en-US" w:eastAsia="zh-CN"/>
        </w:rPr>
      </w:pPr>
      <w:r>
        <w:rPr>
          <w:rFonts w:hint="default" w:ascii="宋体" w:hAnsi="宋体"/>
          <w:color w:val="auto"/>
          <w:sz w:val="24"/>
          <w:highlight w:val="none"/>
          <w:lang w:val="en-US" w:eastAsia="zh-CN"/>
        </w:rPr>
        <w:t>4、上述价款为含税价款，甲方不再另行支付税金</w:t>
      </w:r>
      <w:r>
        <w:rPr>
          <w:rFonts w:hint="eastAsia" w:ascii="宋体" w:hAnsi="宋体"/>
          <w:color w:val="auto"/>
          <w:sz w:val="24"/>
          <w:highlight w:val="none"/>
          <w:lang w:val="en-US" w:eastAsia="zh-CN"/>
        </w:rPr>
        <w:t>费用</w:t>
      </w:r>
      <w:r>
        <w:rPr>
          <w:rFonts w:hint="default" w:ascii="宋体" w:hAnsi="宋体"/>
          <w:color w:val="auto"/>
          <w:sz w:val="24"/>
          <w:highlight w:val="none"/>
          <w:lang w:val="en-US" w:eastAsia="zh-CN"/>
        </w:rPr>
        <w:t>，乙方向甲方开具</w:t>
      </w:r>
      <w:r>
        <w:rPr>
          <w:rFonts w:hint="eastAsia" w:ascii="宋体" w:hAnsi="宋体"/>
          <w:color w:val="auto"/>
          <w:sz w:val="24"/>
          <w:highlight w:val="none"/>
          <w:lang w:val="en-US" w:eastAsia="zh-CN"/>
        </w:rPr>
        <w:t>相应</w:t>
      </w:r>
      <w:r>
        <w:rPr>
          <w:rFonts w:hint="default" w:ascii="宋体" w:hAnsi="宋体"/>
          <w:color w:val="auto"/>
          <w:sz w:val="24"/>
          <w:highlight w:val="none"/>
          <w:lang w:val="en-US" w:eastAsia="zh-CN"/>
        </w:rPr>
        <w:t>增值税专票。</w:t>
      </w:r>
    </w:p>
    <w:p w14:paraId="154D68D5">
      <w:pPr>
        <w:keepNext w:val="0"/>
        <w:keepLines w:val="0"/>
        <w:pageBreakBefore w:val="0"/>
        <w:widowControl w:val="0"/>
        <w:kinsoku/>
        <w:wordWrap/>
        <w:overflowPunct/>
        <w:topLinePunct w:val="0"/>
        <w:autoSpaceDE/>
        <w:autoSpaceDN/>
        <w:bidi w:val="0"/>
        <w:adjustRightInd/>
        <w:snapToGrid w:val="0"/>
        <w:spacing w:line="408" w:lineRule="auto"/>
        <w:ind w:left="0" w:leftChars="0" w:firstLine="480" w:firstLineChars="200"/>
        <w:jc w:val="left"/>
        <w:textAlignment w:val="auto"/>
        <w:outlineLvl w:val="9"/>
        <w:rPr>
          <w:rFonts w:hint="eastAsia" w:ascii="宋体" w:hAnsi="宋体" w:cs="Times New Roman"/>
          <w:color w:val="auto"/>
          <w:sz w:val="24"/>
          <w:highlight w:val="none"/>
          <w:lang w:val="en-US" w:eastAsia="zh-CN"/>
        </w:rPr>
      </w:pPr>
      <w:r>
        <w:rPr>
          <w:rFonts w:hint="default" w:ascii="宋体" w:hAnsi="宋体"/>
          <w:color w:val="auto"/>
          <w:sz w:val="24"/>
          <w:highlight w:val="none"/>
          <w:lang w:val="en-US" w:eastAsia="zh-CN"/>
        </w:rPr>
        <w:t>5、脚手架搭设要求：搭设之前需有项目部下发任务单（派工单），每个分部分项统一绘制脚手架搭设图纸，经成本中心审核后方可进行搭设施工，搭设完成确认单每月10号前上报项目费控部门</w:t>
      </w:r>
      <w:r>
        <w:rPr>
          <w:rFonts w:hint="eastAsia" w:ascii="宋体" w:hAnsi="宋体" w:cs="Times New Roman"/>
          <w:color w:val="auto"/>
          <w:sz w:val="24"/>
          <w:highlight w:val="none"/>
          <w:lang w:val="en-US" w:eastAsia="zh-CN"/>
        </w:rPr>
        <w:t>。</w:t>
      </w:r>
    </w:p>
    <w:p w14:paraId="7B189260">
      <w:pPr>
        <w:keepNext w:val="0"/>
        <w:keepLines w:val="0"/>
        <w:pageBreakBefore w:val="0"/>
        <w:widowControl w:val="0"/>
        <w:kinsoku/>
        <w:wordWrap/>
        <w:overflowPunct/>
        <w:topLinePunct w:val="0"/>
        <w:autoSpaceDE/>
        <w:autoSpaceDN/>
        <w:bidi w:val="0"/>
        <w:adjustRightInd/>
        <w:snapToGrid w:val="0"/>
        <w:spacing w:line="408" w:lineRule="auto"/>
        <w:ind w:left="0" w:leftChars="0" w:firstLine="480" w:firstLineChars="200"/>
        <w:jc w:val="left"/>
        <w:textAlignment w:val="auto"/>
        <w:outlineLvl w:val="9"/>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2.2.</w:t>
      </w:r>
      <w:r>
        <w:rPr>
          <w:rFonts w:hint="eastAsia" w:ascii="宋体" w:hAnsi="宋体" w:cs="Times New Roman"/>
          <w:color w:val="auto"/>
          <w:sz w:val="24"/>
          <w:highlight w:val="none"/>
          <w:lang w:val="en-US" w:eastAsia="zh-CN"/>
        </w:rPr>
        <w:t>2</w:t>
      </w:r>
      <w:r>
        <w:rPr>
          <w:rFonts w:hint="eastAsia" w:ascii="宋体" w:hAnsi="宋体" w:eastAsia="宋体" w:cs="Times New Roman"/>
          <w:color w:val="auto"/>
          <w:sz w:val="24"/>
          <w:highlight w:val="none"/>
          <w:lang w:val="en-US" w:eastAsia="zh-CN"/>
        </w:rPr>
        <w:t xml:space="preserve"> 报价含甲方与业主合同规定的所有内容，班组承包除业主甲供主材外的所有费用，主材按业主和甲方约定的甲供料用量限额领料，超出规定限额部分按业主供应价格的120%从工程款中直接扣减。其中焊条由甲方统一提供，从乙方工程款中扣除，大中型吊车、辅料由乙方自行决定提供者，乙方已了解相关情况并且同意相关价格（相关费用由乙方承担），乙方现场按实签单使用，乙方使用的大中型吊车及焊条辅料费用从进度款中直接扣减（如有使用大于50吨吊车，甲方承担超出部分的金额）。</w:t>
      </w:r>
    </w:p>
    <w:p w14:paraId="3D1C9CFC">
      <w:pPr>
        <w:keepNext w:val="0"/>
        <w:keepLines w:val="0"/>
        <w:pageBreakBefore w:val="0"/>
        <w:widowControl w:val="0"/>
        <w:kinsoku/>
        <w:wordWrap/>
        <w:overflowPunct/>
        <w:topLinePunct w:val="0"/>
        <w:autoSpaceDE/>
        <w:autoSpaceDN/>
        <w:bidi w:val="0"/>
        <w:adjustRightInd/>
        <w:snapToGrid w:val="0"/>
        <w:spacing w:line="408" w:lineRule="auto"/>
        <w:ind w:left="0" w:leftChars="0" w:firstLine="480" w:firstLineChars="200"/>
        <w:jc w:val="left"/>
        <w:textAlignment w:val="auto"/>
        <w:outlineLvl w:val="9"/>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2.2.</w:t>
      </w:r>
      <w:r>
        <w:rPr>
          <w:rFonts w:hint="eastAsia" w:ascii="宋体" w:hAnsi="宋体" w:cs="Times New Roman"/>
          <w:color w:val="auto"/>
          <w:sz w:val="24"/>
          <w:highlight w:val="none"/>
          <w:lang w:val="en-US" w:eastAsia="zh-CN"/>
        </w:rPr>
        <w:t>3</w:t>
      </w:r>
      <w:r>
        <w:rPr>
          <w:rFonts w:hint="eastAsia" w:ascii="宋体" w:hAnsi="宋体" w:eastAsia="宋体" w:cs="Times New Roman"/>
          <w:color w:val="auto"/>
          <w:sz w:val="24"/>
          <w:highlight w:val="none"/>
          <w:lang w:val="en-US" w:eastAsia="zh-CN"/>
        </w:rPr>
        <w:t xml:space="preserve"> 单价是全部制作安装工作内容的综合体现，乙方已充分考虑到有关定额、规定等的政策性变化和市场价格波动的影响，本价格均已包括了实施和完成合同项目所应计取的所有（包括但不限于）人工费（含个税）、机械费、辅材费、安全文明施工费用（含安全带、防滑鞋等除安全网由甲方提供乙方搭设）、卫生清运、临时电缆电箱布置、现场监护、作业票开具及误工、配合现场小修改、工人意外伤害保险、现场安全劳保费用、进退场费、差旅费、通讯费、食宿费、社保费、材料设备卸车、多次转运、试压所需临时短接及试压盲板拆装、施工和生活水电费、管理费、利润及验收配合、增值税及附加和其他税费等所有费用。保运费及施工过程中所含的安全文明施工费等一切除以上清单项中的其他费用（4米以下采用移动式门式脚手架由乙自行搭拆并承担费用，移动式门式脚手需符合国家及浙石化规定）。</w:t>
      </w:r>
    </w:p>
    <w:p w14:paraId="5BE74CCB">
      <w:pPr>
        <w:keepNext w:val="0"/>
        <w:keepLines w:val="0"/>
        <w:pageBreakBefore w:val="0"/>
        <w:widowControl w:val="0"/>
        <w:kinsoku/>
        <w:wordWrap/>
        <w:overflowPunct/>
        <w:topLinePunct w:val="0"/>
        <w:autoSpaceDE/>
        <w:autoSpaceDN/>
        <w:bidi w:val="0"/>
        <w:adjustRightInd/>
        <w:snapToGrid w:val="0"/>
        <w:spacing w:line="408" w:lineRule="auto"/>
        <w:ind w:left="0" w:leftChars="0" w:firstLine="480" w:firstLineChars="200"/>
        <w:jc w:val="left"/>
        <w:textAlignment w:val="auto"/>
        <w:outlineLvl w:val="9"/>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2.2.</w:t>
      </w:r>
      <w:r>
        <w:rPr>
          <w:rFonts w:hint="eastAsia" w:ascii="宋体" w:hAnsi="宋体" w:cs="Times New Roman"/>
          <w:color w:val="auto"/>
          <w:sz w:val="24"/>
          <w:highlight w:val="none"/>
          <w:lang w:val="en-US" w:eastAsia="zh-CN"/>
        </w:rPr>
        <w:t>4</w:t>
      </w:r>
      <w:r>
        <w:rPr>
          <w:rFonts w:hint="eastAsia" w:ascii="宋体" w:hAnsi="宋体" w:eastAsia="宋体" w:cs="Times New Roman"/>
          <w:color w:val="auto"/>
          <w:sz w:val="24"/>
          <w:highlight w:val="none"/>
          <w:lang w:val="en-US" w:eastAsia="zh-CN"/>
        </w:rPr>
        <w:t xml:space="preserve"> 乙方需提供进场特种作业人员（入场电工、架子工、起重工、仪表校验工、测量工、气割工等）、特种设备作业人员资料（入场焊工，区分管道焊工、结构焊工、普通焊工），身份证、特殊工种作业人员证书的复印件；计量器具、设备机具资料，此项包含乙方入场周期检定计量器具的检定报告，及其他器具的质量证明文件并按时提供及配合施工及质量验收过程中需提供的资料（如：1、按期定时的施工数据统计信息上报，例如管道专业每日焊接数据信息。2、需配合各专业施工过程资料的填写及确认。3、需配合施工检验项目资料的填写及确认。4、需配合项目控制点和其他节点质量验收、隐蔽验收等资料填写及确认。</w:t>
      </w:r>
    </w:p>
    <w:p w14:paraId="30165DF5">
      <w:pPr>
        <w:keepNext w:val="0"/>
        <w:keepLines w:val="0"/>
        <w:pageBreakBefore w:val="0"/>
        <w:widowControl w:val="0"/>
        <w:kinsoku/>
        <w:wordWrap/>
        <w:overflowPunct/>
        <w:topLinePunct w:val="0"/>
        <w:autoSpaceDE/>
        <w:autoSpaceDN/>
        <w:bidi w:val="0"/>
        <w:adjustRightInd/>
        <w:snapToGrid w:val="0"/>
        <w:spacing w:line="408" w:lineRule="auto"/>
        <w:ind w:left="0" w:leftChars="0" w:firstLine="480" w:firstLineChars="200"/>
        <w:jc w:val="left"/>
        <w:textAlignment w:val="auto"/>
        <w:outlineLvl w:val="9"/>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2.2.</w:t>
      </w:r>
      <w:r>
        <w:rPr>
          <w:rFonts w:hint="eastAsia" w:ascii="宋体" w:hAnsi="宋体" w:cs="Times New Roman"/>
          <w:color w:val="auto"/>
          <w:sz w:val="24"/>
          <w:highlight w:val="none"/>
          <w:lang w:val="en-US" w:eastAsia="zh-CN"/>
        </w:rPr>
        <w:t>5</w:t>
      </w:r>
      <w:r>
        <w:rPr>
          <w:rFonts w:hint="eastAsia" w:ascii="宋体" w:hAnsi="宋体" w:eastAsia="宋体" w:cs="Times New Roman"/>
          <w:color w:val="auto"/>
          <w:sz w:val="24"/>
          <w:highlight w:val="none"/>
          <w:lang w:val="en-US" w:eastAsia="zh-CN"/>
        </w:rPr>
        <w:t xml:space="preserve"> 工作服、安全帽、安全带由甲方统一提供，该费用从每月进度款中及结算价中直接扣减。</w:t>
      </w:r>
    </w:p>
    <w:p w14:paraId="670D471F">
      <w:pPr>
        <w:keepNext w:val="0"/>
        <w:keepLines w:val="0"/>
        <w:pageBreakBefore w:val="0"/>
        <w:widowControl w:val="0"/>
        <w:kinsoku/>
        <w:wordWrap/>
        <w:overflowPunct/>
        <w:topLinePunct w:val="0"/>
        <w:autoSpaceDE/>
        <w:autoSpaceDN/>
        <w:bidi w:val="0"/>
        <w:adjustRightInd/>
        <w:snapToGrid w:val="0"/>
        <w:spacing w:line="408" w:lineRule="auto"/>
        <w:ind w:left="0" w:leftChars="0" w:firstLine="480" w:firstLineChars="200"/>
        <w:jc w:val="left"/>
        <w:textAlignment w:val="auto"/>
        <w:outlineLvl w:val="9"/>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2.2.</w:t>
      </w:r>
      <w:r>
        <w:rPr>
          <w:rFonts w:hint="eastAsia" w:ascii="宋体" w:hAnsi="宋体" w:cs="Times New Roman"/>
          <w:color w:val="auto"/>
          <w:sz w:val="24"/>
          <w:highlight w:val="none"/>
          <w:lang w:val="en-US" w:eastAsia="zh-CN"/>
        </w:rPr>
        <w:t>6</w:t>
      </w:r>
      <w:r>
        <w:rPr>
          <w:rFonts w:hint="eastAsia" w:ascii="宋体" w:hAnsi="宋体" w:eastAsia="宋体" w:cs="Times New Roman"/>
          <w:color w:val="auto"/>
          <w:sz w:val="24"/>
          <w:highlight w:val="none"/>
          <w:lang w:val="en-US" w:eastAsia="zh-CN"/>
        </w:rPr>
        <w:t xml:space="preserve"> 甲方提供住宿场地（费用由乙方承担）：</w:t>
      </w:r>
      <w:permStart w:id="45" w:edGrp="everyone"/>
      <w:r>
        <w:rPr>
          <w:rFonts w:hint="eastAsia" w:ascii="宋体" w:hAnsi="宋体" w:eastAsia="宋体" w:cs="Times New Roman"/>
          <w:color w:val="auto"/>
          <w:sz w:val="24"/>
          <w:highlight w:val="none"/>
          <w:lang w:val="en-US" w:eastAsia="zh-CN"/>
        </w:rPr>
        <w:t>宿舍按每间每月</w:t>
      </w:r>
      <w:r>
        <w:rPr>
          <w:rFonts w:hint="eastAsia" w:ascii="宋体" w:hAnsi="宋体" w:cs="Times New Roman"/>
          <w:color w:val="auto"/>
          <w:sz w:val="24"/>
          <w:highlight w:val="none"/>
          <w:lang w:val="en-US" w:eastAsia="zh-CN"/>
        </w:rPr>
        <w:t>900</w:t>
      </w:r>
      <w:r>
        <w:rPr>
          <w:rFonts w:hint="eastAsia" w:ascii="宋体" w:hAnsi="宋体" w:eastAsia="宋体" w:cs="Times New Roman"/>
          <w:color w:val="auto"/>
          <w:sz w:val="24"/>
          <w:highlight w:val="none"/>
          <w:lang w:val="en-US" w:eastAsia="zh-CN"/>
        </w:rPr>
        <w:t>元计费</w:t>
      </w:r>
      <w:permEnd w:id="45"/>
      <w:r>
        <w:rPr>
          <w:rFonts w:hint="eastAsia" w:ascii="宋体" w:hAnsi="宋体" w:eastAsia="宋体" w:cs="Times New Roman"/>
          <w:color w:val="auto"/>
          <w:sz w:val="24"/>
          <w:highlight w:val="none"/>
          <w:lang w:val="en-US" w:eastAsia="zh-CN"/>
        </w:rPr>
        <w:t>，费用从每月班组进度款中及结算价中扣回。</w:t>
      </w:r>
    </w:p>
    <w:p w14:paraId="101BCD9E">
      <w:pPr>
        <w:keepNext w:val="0"/>
        <w:keepLines w:val="0"/>
        <w:pageBreakBefore w:val="0"/>
        <w:widowControl w:val="0"/>
        <w:kinsoku/>
        <w:wordWrap/>
        <w:overflowPunct/>
        <w:topLinePunct w:val="0"/>
        <w:autoSpaceDE/>
        <w:autoSpaceDN/>
        <w:bidi w:val="0"/>
        <w:adjustRightInd/>
        <w:snapToGrid w:val="0"/>
        <w:spacing w:line="408" w:lineRule="auto"/>
        <w:ind w:left="0" w:leftChars="0" w:firstLine="480" w:firstLineChars="200"/>
        <w:jc w:val="left"/>
        <w:textAlignment w:val="auto"/>
        <w:outlineLvl w:val="9"/>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2.2.</w:t>
      </w:r>
      <w:r>
        <w:rPr>
          <w:rFonts w:hint="eastAsia" w:ascii="宋体" w:hAnsi="宋体" w:cs="Times New Roman"/>
          <w:color w:val="auto"/>
          <w:sz w:val="24"/>
          <w:highlight w:val="none"/>
          <w:lang w:val="en-US" w:eastAsia="zh-CN"/>
        </w:rPr>
        <w:t>7</w:t>
      </w:r>
      <w:r>
        <w:rPr>
          <w:rFonts w:hint="eastAsia" w:ascii="宋体" w:hAnsi="宋体" w:eastAsia="宋体" w:cs="Times New Roman"/>
          <w:color w:val="auto"/>
          <w:sz w:val="24"/>
          <w:highlight w:val="none"/>
          <w:lang w:val="en-US" w:eastAsia="zh-CN"/>
        </w:rPr>
        <w:t xml:space="preserve"> 施工电费装表计量，按实结算，如不装表则按结算价2%计（其中现场1.5%，生活水电0.5%），</w:t>
      </w:r>
      <w:r>
        <w:rPr>
          <w:rFonts w:hint="eastAsia" w:ascii="宋体" w:hAnsi="宋体" w:cs="Times New Roman"/>
          <w:color w:val="auto"/>
          <w:sz w:val="24"/>
          <w:highlight w:val="none"/>
          <w:lang w:val="en-US" w:eastAsia="zh-CN"/>
        </w:rPr>
        <w:t>费用</w:t>
      </w:r>
      <w:r>
        <w:rPr>
          <w:rFonts w:hint="eastAsia" w:ascii="宋体" w:hAnsi="宋体" w:eastAsia="宋体" w:cs="Times New Roman"/>
          <w:color w:val="auto"/>
          <w:sz w:val="24"/>
          <w:highlight w:val="none"/>
          <w:lang w:val="en-US" w:eastAsia="zh-CN"/>
        </w:rPr>
        <w:t>从每月班组进度款中及结算价中扣回。</w:t>
      </w:r>
    </w:p>
    <w:p w14:paraId="5E95EAD8">
      <w:pPr>
        <w:keepNext w:val="0"/>
        <w:keepLines w:val="0"/>
        <w:pageBreakBefore w:val="0"/>
        <w:widowControl w:val="0"/>
        <w:kinsoku/>
        <w:wordWrap/>
        <w:overflowPunct/>
        <w:topLinePunct w:val="0"/>
        <w:autoSpaceDE/>
        <w:autoSpaceDN/>
        <w:bidi w:val="0"/>
        <w:adjustRightInd/>
        <w:snapToGrid w:val="0"/>
        <w:spacing w:line="408" w:lineRule="auto"/>
        <w:ind w:left="0" w:leftChars="0" w:firstLine="480" w:firstLineChars="200"/>
        <w:jc w:val="left"/>
        <w:textAlignment w:val="auto"/>
        <w:outlineLvl w:val="9"/>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2.2.</w:t>
      </w:r>
      <w:r>
        <w:rPr>
          <w:rFonts w:hint="eastAsia" w:ascii="宋体" w:hAnsi="宋体" w:cs="Times New Roman"/>
          <w:color w:val="auto"/>
          <w:sz w:val="24"/>
          <w:highlight w:val="none"/>
          <w:lang w:val="en-US" w:eastAsia="zh-CN"/>
        </w:rPr>
        <w:t>8</w:t>
      </w:r>
      <w:r>
        <w:rPr>
          <w:rFonts w:hint="eastAsia" w:ascii="宋体" w:hAnsi="宋体" w:eastAsia="宋体" w:cs="Times New Roman"/>
          <w:color w:val="auto"/>
          <w:sz w:val="24"/>
          <w:highlight w:val="none"/>
          <w:lang w:val="en-US" w:eastAsia="zh-CN"/>
        </w:rPr>
        <w:t xml:space="preserve"> 安全生产责任险或雇主责任险等商业险由甲方统一购买，费用由乙方按造价比例分摊。除此之外的各类保险乙方自行购买。</w:t>
      </w:r>
    </w:p>
    <w:p w14:paraId="44C74195">
      <w:pPr>
        <w:keepNext w:val="0"/>
        <w:keepLines w:val="0"/>
        <w:pageBreakBefore w:val="0"/>
        <w:widowControl w:val="0"/>
        <w:kinsoku/>
        <w:wordWrap/>
        <w:overflowPunct/>
        <w:topLinePunct w:val="0"/>
        <w:autoSpaceDE/>
        <w:autoSpaceDN/>
        <w:bidi w:val="0"/>
        <w:adjustRightInd/>
        <w:snapToGrid w:val="0"/>
        <w:spacing w:line="408" w:lineRule="auto"/>
        <w:ind w:left="0" w:leftChars="0" w:firstLine="480" w:firstLineChars="200"/>
        <w:jc w:val="left"/>
        <w:textAlignment w:val="auto"/>
        <w:outlineLvl w:val="9"/>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2.2.</w:t>
      </w:r>
      <w:r>
        <w:rPr>
          <w:rFonts w:hint="eastAsia" w:ascii="宋体" w:hAnsi="宋体" w:cs="Times New Roman"/>
          <w:color w:val="auto"/>
          <w:sz w:val="24"/>
          <w:highlight w:val="none"/>
          <w:lang w:val="en-US" w:eastAsia="zh-CN"/>
        </w:rPr>
        <w:t>9</w:t>
      </w:r>
      <w:r>
        <w:rPr>
          <w:rFonts w:hint="eastAsia" w:ascii="宋体" w:hAnsi="宋体" w:eastAsia="宋体" w:cs="Times New Roman"/>
          <w:color w:val="auto"/>
          <w:sz w:val="24"/>
          <w:highlight w:val="none"/>
          <w:lang w:val="en-US" w:eastAsia="zh-CN"/>
        </w:rPr>
        <w:t xml:space="preserve"> 报价包含从施工准备至交工验收全过程所需之一切人工（包括工人工资、加班费、由个人和用人单位承担的社会保险费、年休假工资、合同终止/解除经济补偿金、职工福利费、教育经费、工会经费等）、机具机械费、劳保用品、暂住证与识别证办证费、人员保险、机具保险、管理、税金（含个人所得税）等所有费用均已含在单价中由乙方自理。合同价款中已包含一定程度的逾期付款补偿。</w:t>
      </w:r>
    </w:p>
    <w:p w14:paraId="6C9D0571">
      <w:pPr>
        <w:keepNext w:val="0"/>
        <w:keepLines w:val="0"/>
        <w:pageBreakBefore w:val="0"/>
        <w:widowControl w:val="0"/>
        <w:kinsoku/>
        <w:overflowPunct/>
        <w:topLinePunct w:val="0"/>
        <w:autoSpaceDE/>
        <w:autoSpaceDN/>
        <w:bidi w:val="0"/>
        <w:adjustRightInd/>
        <w:spacing w:line="408" w:lineRule="auto"/>
        <w:ind w:left="0" w:firstLine="0" w:firstLineChars="0"/>
        <w:jc w:val="left"/>
        <w:textAlignment w:val="auto"/>
        <w:outlineLvl w:val="9"/>
        <w:rPr>
          <w:rFonts w:hint="eastAsia" w:ascii="宋体" w:hAnsi="宋体"/>
          <w:b/>
          <w:color w:val="auto"/>
          <w:spacing w:val="10"/>
          <w:sz w:val="24"/>
          <w:highlight w:val="none"/>
        </w:rPr>
      </w:pPr>
      <w:r>
        <w:rPr>
          <w:rFonts w:hint="eastAsia" w:ascii="宋体" w:hAnsi="宋体"/>
          <w:b/>
          <w:color w:val="auto"/>
          <w:spacing w:val="10"/>
          <w:sz w:val="24"/>
          <w:highlight w:val="none"/>
        </w:rPr>
        <w:t>第三条  工期</w:t>
      </w:r>
    </w:p>
    <w:p w14:paraId="32FBA532">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yellow"/>
        </w:rPr>
      </w:pPr>
      <w:bookmarkStart w:id="4" w:name="_Hlk38810756"/>
      <w:r>
        <w:rPr>
          <w:rFonts w:hint="eastAsia" w:ascii="宋体" w:hAnsi="宋体"/>
          <w:color w:val="auto"/>
          <w:spacing w:val="10"/>
          <w:sz w:val="24"/>
          <w:highlight w:val="none"/>
          <w:lang w:val="en-US" w:eastAsia="zh-CN"/>
        </w:rPr>
        <w:t xml:space="preserve">3.1 </w:t>
      </w:r>
      <w:bookmarkEnd w:id="4"/>
      <w:r>
        <w:rPr>
          <w:rFonts w:hint="eastAsia" w:ascii="宋体" w:hAnsi="宋体"/>
          <w:color w:val="auto"/>
          <w:spacing w:val="10"/>
          <w:sz w:val="24"/>
          <w:highlight w:val="none"/>
        </w:rPr>
        <w:t>严格按照业主工期要求执行。乙方应根据甲方的需要组织相应施工班组，合同签订后五日内进场施工。具体工期以甲方确认的“施工进度计划安排表”为准。若在施工过程当中业主、监理及甲方根据工程总体进度情况要求调整合同工期，则以最终调整后的合理工期为准，乙方必须无条件执行。因工期、进度计划变化而可能造成的非长期性（7天内）停工、窝工，此损失已在合同价款中充分考虑，乙方不能提出任何损失补偿要求。</w:t>
      </w:r>
    </w:p>
    <w:p w14:paraId="4B5E5906">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rPr>
      </w:pPr>
      <w:r>
        <w:rPr>
          <w:rFonts w:hint="eastAsia" w:ascii="宋体" w:hAnsi="宋体"/>
          <w:color w:val="auto"/>
          <w:spacing w:val="10"/>
          <w:sz w:val="24"/>
          <w:highlight w:val="none"/>
        </w:rPr>
        <w:t>3.2</w:t>
      </w:r>
      <w:r>
        <w:rPr>
          <w:rFonts w:hint="eastAsia" w:ascii="宋体" w:hAnsi="宋体"/>
          <w:color w:val="auto"/>
          <w:spacing w:val="10"/>
          <w:sz w:val="24"/>
          <w:highlight w:val="none"/>
          <w:lang w:val="en-US" w:eastAsia="zh-CN"/>
        </w:rPr>
        <w:t xml:space="preserve"> </w:t>
      </w:r>
      <w:r>
        <w:rPr>
          <w:rFonts w:hint="eastAsia" w:ascii="宋体" w:hAnsi="宋体"/>
          <w:color w:val="auto"/>
          <w:spacing w:val="10"/>
          <w:sz w:val="24"/>
          <w:highlight w:val="none"/>
        </w:rPr>
        <w:t>分包人作业进度不能满足承包人施工进度要求，应承担违约责任，每延误一天向承包人支付5000元违约金，依次类推。若延误超过15天，承包人有权解除合同，另行发包。</w:t>
      </w:r>
    </w:p>
    <w:p w14:paraId="61471789">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rPr>
      </w:pPr>
      <w:r>
        <w:rPr>
          <w:rFonts w:hint="eastAsia" w:ascii="宋体" w:hAnsi="宋体"/>
          <w:color w:val="auto"/>
          <w:spacing w:val="10"/>
          <w:sz w:val="24"/>
          <w:highlight w:val="none"/>
        </w:rPr>
        <w:t>3.3</w:t>
      </w:r>
      <w:r>
        <w:rPr>
          <w:rFonts w:hint="eastAsia" w:ascii="宋体" w:hAnsi="宋体"/>
          <w:color w:val="auto"/>
          <w:spacing w:val="10"/>
          <w:sz w:val="24"/>
          <w:highlight w:val="none"/>
          <w:lang w:val="en-US" w:eastAsia="zh-CN"/>
        </w:rPr>
        <w:t xml:space="preserve"> </w:t>
      </w:r>
      <w:r>
        <w:rPr>
          <w:rFonts w:hint="eastAsia" w:ascii="宋体" w:hAnsi="宋体"/>
          <w:color w:val="auto"/>
          <w:spacing w:val="10"/>
          <w:sz w:val="24"/>
          <w:highlight w:val="none"/>
        </w:rPr>
        <w:t>合同签订后，乙方不得以任何理由（如亏本、无利润、无民工及民工农忙难叫等）拖延工期，甚至以停工、罢工等无赖手段相要挟，否则甲方有权拒付工程款，同时要求国家行政执法机关参与调查处理。</w:t>
      </w:r>
    </w:p>
    <w:p w14:paraId="0080FB6F">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default" w:ascii="宋体" w:hAnsi="宋体" w:eastAsia="宋体" w:cs="Times New Roman"/>
          <w:color w:val="auto"/>
          <w:spacing w:val="10"/>
          <w:sz w:val="24"/>
          <w:highlight w:val="none"/>
          <w:lang w:val="en-US" w:eastAsia="zh-CN"/>
        </w:rPr>
      </w:pPr>
      <w:r>
        <w:rPr>
          <w:rFonts w:hint="eastAsia" w:ascii="宋体" w:hAnsi="宋体"/>
          <w:color w:val="auto"/>
          <w:spacing w:val="10"/>
          <w:sz w:val="24"/>
          <w:highlight w:val="none"/>
        </w:rPr>
        <w:t>3.4</w:t>
      </w:r>
      <w:r>
        <w:rPr>
          <w:rFonts w:hint="eastAsia" w:ascii="宋体" w:hAnsi="宋体"/>
          <w:color w:val="auto"/>
          <w:spacing w:val="10"/>
          <w:sz w:val="24"/>
          <w:highlight w:val="none"/>
          <w:lang w:val="en-US" w:eastAsia="zh-CN"/>
        </w:rPr>
        <w:t xml:space="preserve"> </w:t>
      </w:r>
      <w:r>
        <w:rPr>
          <w:rFonts w:hint="eastAsia" w:ascii="宋体" w:hAnsi="宋体"/>
          <w:color w:val="auto"/>
          <w:spacing w:val="10"/>
          <w:sz w:val="24"/>
          <w:highlight w:val="none"/>
        </w:rPr>
        <w:t>如需加班，乙方必须无条件服从甲方安排，同时人员安排必须满足甲方加班进度的要求，否则乙方按5000元/天支付违约金给甲方。</w:t>
      </w:r>
    </w:p>
    <w:p w14:paraId="663A0ADF">
      <w:pPr>
        <w:keepNext w:val="0"/>
        <w:keepLines w:val="0"/>
        <w:pageBreakBefore w:val="0"/>
        <w:widowControl w:val="0"/>
        <w:kinsoku/>
        <w:overflowPunct/>
        <w:topLinePunct w:val="0"/>
        <w:autoSpaceDE/>
        <w:autoSpaceDN/>
        <w:bidi w:val="0"/>
        <w:adjustRightInd/>
        <w:spacing w:line="408" w:lineRule="auto"/>
        <w:ind w:left="0" w:firstLine="0" w:firstLineChars="0"/>
        <w:jc w:val="left"/>
        <w:textAlignment w:val="auto"/>
        <w:outlineLvl w:val="9"/>
        <w:rPr>
          <w:rFonts w:hint="eastAsia" w:ascii="宋体" w:hAnsi="宋体"/>
          <w:b/>
          <w:color w:val="auto"/>
          <w:spacing w:val="10"/>
          <w:sz w:val="24"/>
          <w:highlight w:val="none"/>
        </w:rPr>
      </w:pPr>
      <w:r>
        <w:rPr>
          <w:rFonts w:hint="eastAsia" w:ascii="宋体" w:hAnsi="宋体"/>
          <w:b/>
          <w:color w:val="auto"/>
          <w:spacing w:val="10"/>
          <w:sz w:val="24"/>
          <w:highlight w:val="none"/>
        </w:rPr>
        <w:t>第四条  项目质量及验收</w:t>
      </w:r>
    </w:p>
    <w:p w14:paraId="4A7750D6">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rPr>
      </w:pPr>
      <w:r>
        <w:rPr>
          <w:rFonts w:hint="eastAsia" w:ascii="宋体" w:hAnsi="宋体"/>
          <w:color w:val="auto"/>
          <w:spacing w:val="10"/>
          <w:sz w:val="24"/>
          <w:highlight w:val="none"/>
        </w:rPr>
        <w:t>4.1</w:t>
      </w:r>
      <w:r>
        <w:rPr>
          <w:rFonts w:hint="eastAsia" w:ascii="宋体" w:hAnsi="宋体"/>
          <w:color w:val="auto"/>
          <w:spacing w:val="10"/>
          <w:sz w:val="24"/>
          <w:highlight w:val="none"/>
          <w:lang w:val="en-US" w:eastAsia="zh-CN"/>
        </w:rPr>
        <w:t xml:space="preserve"> </w:t>
      </w:r>
      <w:r>
        <w:rPr>
          <w:rFonts w:hint="eastAsia" w:ascii="宋体" w:hAnsi="宋体"/>
          <w:color w:val="auto"/>
          <w:spacing w:val="10"/>
          <w:sz w:val="24"/>
          <w:highlight w:val="none"/>
        </w:rPr>
        <w:t>项目质量应符合《石油化工有毒、可燃介质钢制管道工程施工及验收规范》SH 3501-2021、《石油化工金属管道工程施工质量验收规范》GB 50517-2010、《工业金属管道工程施工规范》GB 50235-2010、《石油化工安装工程施工质量验收统一标准》SHT 3508-2011、《现场设备、工业管道焊接工程施工及验收规范》、等设计和业主及国家法律法规要求规范的合格标准，并符合总包合同有关质量的约定。</w:t>
      </w:r>
    </w:p>
    <w:p w14:paraId="604BE603">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rPr>
      </w:pPr>
      <w:r>
        <w:rPr>
          <w:rFonts w:hint="eastAsia" w:ascii="宋体" w:hAnsi="宋体"/>
          <w:color w:val="auto"/>
          <w:spacing w:val="10"/>
          <w:sz w:val="24"/>
          <w:highlight w:val="none"/>
        </w:rPr>
        <w:t>4.2</w:t>
      </w:r>
      <w:r>
        <w:rPr>
          <w:rFonts w:hint="eastAsia" w:ascii="宋体" w:hAnsi="宋体"/>
          <w:color w:val="auto"/>
          <w:spacing w:val="10"/>
          <w:sz w:val="24"/>
          <w:highlight w:val="none"/>
          <w:lang w:val="en-US" w:eastAsia="zh-CN"/>
        </w:rPr>
        <w:t xml:space="preserve"> </w:t>
      </w:r>
      <w:r>
        <w:rPr>
          <w:rFonts w:hint="eastAsia" w:ascii="宋体" w:hAnsi="宋体"/>
          <w:color w:val="auto"/>
          <w:spacing w:val="10"/>
          <w:sz w:val="24"/>
          <w:highlight w:val="none"/>
        </w:rPr>
        <w:t>本项目验收以施工图纸约定采用的标准、设计的要求和甲方依据合同签发的指令施工，本项目应满足施工图纸设计要求及当地部门规定（包括甲方现场要求、施工图技术要求、说明书、国家颁发的有关施工验收规范和质量检验评定标准及有关行业标准为据）。当不同标准或技术要求之间有冲突时以高要求的标准或技术要求为施工验收依据。</w:t>
      </w:r>
    </w:p>
    <w:p w14:paraId="3F386673">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rPr>
      </w:pPr>
      <w:r>
        <w:rPr>
          <w:rFonts w:hint="eastAsia" w:ascii="宋体" w:hAnsi="宋体"/>
          <w:color w:val="auto"/>
          <w:spacing w:val="10"/>
          <w:sz w:val="24"/>
          <w:highlight w:val="none"/>
        </w:rPr>
        <w:t>4.3</w:t>
      </w:r>
      <w:r>
        <w:rPr>
          <w:rFonts w:hint="eastAsia" w:ascii="宋体" w:hAnsi="宋体"/>
          <w:color w:val="auto"/>
          <w:spacing w:val="10"/>
          <w:sz w:val="24"/>
          <w:highlight w:val="none"/>
          <w:lang w:val="en-US" w:eastAsia="zh-CN"/>
        </w:rPr>
        <w:t xml:space="preserve"> </w:t>
      </w:r>
      <w:r>
        <w:rPr>
          <w:rFonts w:hint="eastAsia" w:ascii="宋体" w:hAnsi="宋体"/>
          <w:color w:val="auto"/>
          <w:spacing w:val="10"/>
          <w:sz w:val="24"/>
          <w:highlight w:val="none"/>
        </w:rPr>
        <w:t>乙方施工中软件应与硬件同步，按完成进度报甲方检查，并按月报甲方审核，申请拨付项目款时应随附软件资料，否则甲方有权不予支付。</w:t>
      </w:r>
    </w:p>
    <w:p w14:paraId="4DB37870">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rPr>
      </w:pPr>
      <w:r>
        <w:rPr>
          <w:rFonts w:hint="eastAsia" w:ascii="宋体" w:hAnsi="宋体"/>
          <w:color w:val="auto"/>
          <w:spacing w:val="10"/>
          <w:sz w:val="24"/>
          <w:highlight w:val="none"/>
        </w:rPr>
        <w:t>4.4</w:t>
      </w:r>
      <w:r>
        <w:rPr>
          <w:rFonts w:hint="eastAsia" w:ascii="宋体" w:hAnsi="宋体"/>
          <w:color w:val="auto"/>
          <w:spacing w:val="10"/>
          <w:sz w:val="24"/>
          <w:highlight w:val="none"/>
          <w:lang w:val="en-US" w:eastAsia="zh-CN"/>
        </w:rPr>
        <w:t xml:space="preserve"> </w:t>
      </w:r>
      <w:r>
        <w:rPr>
          <w:rFonts w:hint="eastAsia" w:ascii="宋体" w:hAnsi="宋体"/>
          <w:color w:val="auto"/>
          <w:spacing w:val="10"/>
          <w:sz w:val="24"/>
          <w:highlight w:val="none"/>
        </w:rPr>
        <w:t>若因乙方原因发生质量、安全事故，造成停工、返工，所发生的费用由乙方负责。甲方有权视情节轻重追究主要责任人责任并处以罚款，由此给甲方带来的直接或间接损失甲方有向乙方追索的权利。</w:t>
      </w:r>
    </w:p>
    <w:p w14:paraId="61146007">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rPr>
      </w:pPr>
      <w:r>
        <w:rPr>
          <w:rFonts w:hint="eastAsia" w:ascii="宋体" w:hAnsi="宋体"/>
          <w:color w:val="auto"/>
          <w:spacing w:val="10"/>
          <w:sz w:val="24"/>
          <w:highlight w:val="none"/>
        </w:rPr>
        <w:t>4.5</w:t>
      </w:r>
      <w:r>
        <w:rPr>
          <w:rFonts w:hint="eastAsia" w:ascii="宋体" w:hAnsi="宋体"/>
          <w:color w:val="auto"/>
          <w:spacing w:val="10"/>
          <w:sz w:val="24"/>
          <w:highlight w:val="none"/>
          <w:lang w:val="en-US" w:eastAsia="zh-CN"/>
        </w:rPr>
        <w:t xml:space="preserve"> </w:t>
      </w:r>
      <w:r>
        <w:rPr>
          <w:rFonts w:hint="eastAsia" w:ascii="宋体" w:hAnsi="宋体"/>
          <w:color w:val="auto"/>
          <w:spacing w:val="10"/>
          <w:sz w:val="24"/>
          <w:highlight w:val="none"/>
        </w:rPr>
        <w:t>施工中若乙方违背或不执行现行质量技术规范的规定，或不服从甲方及监理工程师的管理，或在施工、技术、质量等方面无履行协议的能力，甲方视其情况有权令其停工或终止协议，发生的包括退场等所有费用及损失由乙方自行承担。由此给甲方带来的直接或间接损失甲方有向乙方追索的权利。</w:t>
      </w:r>
    </w:p>
    <w:p w14:paraId="51E695A6">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rPr>
      </w:pPr>
      <w:r>
        <w:rPr>
          <w:rFonts w:hint="eastAsia" w:ascii="宋体" w:hAnsi="宋体"/>
          <w:color w:val="auto"/>
          <w:spacing w:val="10"/>
          <w:sz w:val="24"/>
          <w:highlight w:val="none"/>
        </w:rPr>
        <w:t>4.6</w:t>
      </w:r>
      <w:r>
        <w:rPr>
          <w:rFonts w:hint="eastAsia" w:ascii="宋体" w:hAnsi="宋体"/>
          <w:color w:val="auto"/>
          <w:spacing w:val="10"/>
          <w:sz w:val="24"/>
          <w:highlight w:val="none"/>
          <w:lang w:val="en-US" w:eastAsia="zh-CN"/>
        </w:rPr>
        <w:t xml:space="preserve"> </w:t>
      </w:r>
      <w:r>
        <w:rPr>
          <w:rFonts w:hint="eastAsia" w:ascii="宋体" w:hAnsi="宋体"/>
          <w:color w:val="auto"/>
          <w:spacing w:val="10"/>
          <w:sz w:val="24"/>
          <w:highlight w:val="none"/>
        </w:rPr>
        <w:t>乙方每施工完一道工序，须经甲方技术人员检验合格并批准后方可进行下道工序施工(隐蔽工程具备覆盖、掩盖条件或达到中间验收的部位，乙方自检自查合格后在隐蔽前24小时内通知甲方)。</w:t>
      </w:r>
    </w:p>
    <w:p w14:paraId="2BA3E11C">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rPr>
      </w:pPr>
      <w:r>
        <w:rPr>
          <w:rFonts w:hint="eastAsia" w:ascii="宋体" w:hAnsi="宋体"/>
          <w:color w:val="auto"/>
          <w:spacing w:val="10"/>
          <w:sz w:val="24"/>
          <w:highlight w:val="none"/>
        </w:rPr>
        <w:t>4.7</w:t>
      </w:r>
      <w:r>
        <w:rPr>
          <w:rFonts w:hint="eastAsia" w:ascii="宋体" w:hAnsi="宋体"/>
          <w:color w:val="auto"/>
          <w:spacing w:val="10"/>
          <w:sz w:val="24"/>
          <w:highlight w:val="none"/>
          <w:lang w:val="en-US" w:eastAsia="zh-CN"/>
        </w:rPr>
        <w:t xml:space="preserve"> </w:t>
      </w:r>
      <w:r>
        <w:rPr>
          <w:rFonts w:hint="eastAsia" w:ascii="宋体" w:hAnsi="宋体"/>
          <w:color w:val="auto"/>
          <w:spacing w:val="10"/>
          <w:sz w:val="24"/>
          <w:highlight w:val="none"/>
        </w:rPr>
        <w:t>经验收不合格的工程，乙方应在甲方限定时间内修改后重新验收，经重新验收合格后方可隐蔽或继续施工。</w:t>
      </w:r>
    </w:p>
    <w:p w14:paraId="0E9B379E">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rPr>
      </w:pPr>
      <w:r>
        <w:rPr>
          <w:rFonts w:hint="eastAsia" w:ascii="宋体" w:hAnsi="宋体"/>
          <w:color w:val="auto"/>
          <w:spacing w:val="10"/>
          <w:sz w:val="24"/>
          <w:highlight w:val="none"/>
        </w:rPr>
        <w:t>4.8</w:t>
      </w:r>
      <w:r>
        <w:rPr>
          <w:rFonts w:hint="eastAsia" w:ascii="宋体" w:hAnsi="宋体"/>
          <w:color w:val="auto"/>
          <w:spacing w:val="10"/>
          <w:sz w:val="24"/>
          <w:highlight w:val="none"/>
          <w:lang w:val="en-US" w:eastAsia="zh-CN"/>
        </w:rPr>
        <w:t xml:space="preserve"> </w:t>
      </w:r>
      <w:r>
        <w:rPr>
          <w:rFonts w:hint="eastAsia" w:ascii="宋体" w:hAnsi="宋体"/>
          <w:color w:val="auto"/>
          <w:spacing w:val="10"/>
          <w:sz w:val="24"/>
          <w:highlight w:val="none"/>
        </w:rPr>
        <w:t>无论是否经监理工程师验收，当甲方要求对已隐蔽工程进行重新检验时，乙方必须按要求进行剥离或开孔，并在验收后重新覆盖或修复。检查合格，甲方承担检查所发生的费用，检查不合格，发生的费用全部由乙方承担，工期不予顺延。</w:t>
      </w:r>
    </w:p>
    <w:p w14:paraId="5B2913C9">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rPr>
      </w:pPr>
      <w:r>
        <w:rPr>
          <w:rFonts w:hint="eastAsia" w:ascii="宋体" w:hAnsi="宋体"/>
          <w:color w:val="auto"/>
          <w:spacing w:val="10"/>
          <w:sz w:val="24"/>
          <w:highlight w:val="none"/>
        </w:rPr>
        <w:t>4.9</w:t>
      </w:r>
      <w:r>
        <w:rPr>
          <w:rFonts w:hint="eastAsia" w:ascii="宋体" w:hAnsi="宋体"/>
          <w:color w:val="auto"/>
          <w:spacing w:val="10"/>
          <w:sz w:val="24"/>
          <w:highlight w:val="none"/>
          <w:lang w:val="en-US" w:eastAsia="zh-CN"/>
        </w:rPr>
        <w:t xml:space="preserve"> </w:t>
      </w:r>
      <w:r>
        <w:rPr>
          <w:rFonts w:hint="eastAsia" w:ascii="宋体" w:hAnsi="宋体"/>
          <w:color w:val="auto"/>
          <w:spacing w:val="10"/>
          <w:sz w:val="24"/>
          <w:highlight w:val="none"/>
        </w:rPr>
        <w:t>施工及验收规范和质量检验评定标准：</w:t>
      </w:r>
    </w:p>
    <w:p w14:paraId="486E2AF6">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rPr>
      </w:pPr>
      <w:r>
        <w:rPr>
          <w:rFonts w:hint="eastAsia" w:ascii="宋体" w:hAnsi="宋体"/>
          <w:color w:val="auto"/>
          <w:spacing w:val="10"/>
          <w:sz w:val="24"/>
          <w:highlight w:val="none"/>
        </w:rPr>
        <w:t>若发现质量问题，乙方应根据甲方的要求限期返修至合格，并承担其费用，同时应负担由此给甲方造成的罚款与其他经济损失。</w:t>
      </w:r>
    </w:p>
    <w:p w14:paraId="539BBEE4">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rPr>
      </w:pPr>
      <w:r>
        <w:rPr>
          <w:rFonts w:hint="eastAsia" w:ascii="宋体" w:hAnsi="宋体"/>
          <w:color w:val="auto"/>
          <w:spacing w:val="10"/>
          <w:sz w:val="24"/>
          <w:highlight w:val="none"/>
        </w:rPr>
        <w:t>当甲方与业主间的隐蔽工程验收结果或工程竣工验收结果表明乙方施工质量不合格时，乙方应负责无偿修复，不延长工期，并承担由此导致的甲方的相关损失。</w:t>
      </w:r>
    </w:p>
    <w:p w14:paraId="71B854D6">
      <w:pPr>
        <w:keepNext w:val="0"/>
        <w:keepLines w:val="0"/>
        <w:pageBreakBefore w:val="0"/>
        <w:widowControl w:val="0"/>
        <w:kinsoku/>
        <w:overflowPunct/>
        <w:topLinePunct w:val="0"/>
        <w:autoSpaceDE/>
        <w:autoSpaceDN/>
        <w:bidi w:val="0"/>
        <w:adjustRightInd/>
        <w:spacing w:line="408" w:lineRule="auto"/>
        <w:ind w:left="0" w:firstLine="0" w:firstLineChars="0"/>
        <w:jc w:val="left"/>
        <w:textAlignment w:val="auto"/>
        <w:outlineLvl w:val="9"/>
        <w:rPr>
          <w:rFonts w:hint="eastAsia" w:ascii="宋体" w:hAnsi="宋体" w:eastAsia="宋体" w:cs="Times New Roman"/>
          <w:b/>
          <w:color w:val="auto"/>
          <w:spacing w:val="10"/>
          <w:sz w:val="24"/>
          <w:highlight w:val="none"/>
        </w:rPr>
      </w:pPr>
      <w:r>
        <w:rPr>
          <w:rFonts w:hint="eastAsia" w:ascii="宋体" w:hAnsi="宋体" w:eastAsia="宋体" w:cs="Times New Roman"/>
          <w:b/>
          <w:color w:val="auto"/>
          <w:spacing w:val="10"/>
          <w:sz w:val="24"/>
          <w:highlight w:val="none"/>
        </w:rPr>
        <w:t>第五条  环境与职业健康安全管理</w:t>
      </w:r>
    </w:p>
    <w:p w14:paraId="2A3E13C1">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rPr>
      </w:pPr>
      <w:r>
        <w:rPr>
          <w:rFonts w:hint="eastAsia" w:ascii="宋体" w:hAnsi="宋体"/>
          <w:color w:val="auto"/>
          <w:spacing w:val="10"/>
          <w:sz w:val="24"/>
          <w:highlight w:val="none"/>
        </w:rPr>
        <w:t>5.1 乙方应按甲方在环境与职业健康安全管理方面的要求，配合并落实其承包范围的重要环境因素和重大危险源的控制措施。</w:t>
      </w:r>
    </w:p>
    <w:p w14:paraId="2D7DD895">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rPr>
      </w:pPr>
      <w:r>
        <w:rPr>
          <w:rFonts w:hint="eastAsia" w:ascii="宋体" w:hAnsi="宋体"/>
          <w:color w:val="auto"/>
          <w:spacing w:val="10"/>
          <w:sz w:val="24"/>
          <w:highlight w:val="none"/>
        </w:rPr>
        <w:t>5.2 乙方应指定专人负责环境与职业健康安全的管理，按管理体系的要求开展工作，并接受甲方的监督检查。</w:t>
      </w:r>
    </w:p>
    <w:p w14:paraId="1D297713">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rPr>
      </w:pPr>
      <w:r>
        <w:rPr>
          <w:rFonts w:hint="eastAsia" w:ascii="宋体" w:hAnsi="宋体"/>
          <w:color w:val="auto"/>
          <w:spacing w:val="10"/>
          <w:sz w:val="24"/>
          <w:highlight w:val="none"/>
        </w:rPr>
        <w:t>5.3 执行甲方质量管理体系、环境管理体系和职业健康安全管理体系的要求。</w:t>
      </w:r>
    </w:p>
    <w:p w14:paraId="0292787E">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rPr>
      </w:pPr>
      <w:r>
        <w:rPr>
          <w:rFonts w:hint="eastAsia" w:ascii="宋体" w:hAnsi="宋体"/>
          <w:color w:val="auto"/>
          <w:spacing w:val="10"/>
          <w:sz w:val="24"/>
          <w:highlight w:val="none"/>
        </w:rPr>
        <w:t>5.4 乙方如不能执行5.1-5.2条款,由甲方代为执行,所发生的费用由乙方承担甲方按实从分包工程款中扣除。</w:t>
      </w:r>
    </w:p>
    <w:p w14:paraId="1C780A3F">
      <w:pPr>
        <w:keepNext w:val="0"/>
        <w:keepLines w:val="0"/>
        <w:pageBreakBefore w:val="0"/>
        <w:widowControl w:val="0"/>
        <w:kinsoku/>
        <w:overflowPunct/>
        <w:topLinePunct w:val="0"/>
        <w:autoSpaceDE/>
        <w:autoSpaceDN/>
        <w:bidi w:val="0"/>
        <w:adjustRightInd/>
        <w:spacing w:line="408" w:lineRule="auto"/>
        <w:ind w:left="0" w:firstLine="0" w:firstLineChars="0"/>
        <w:jc w:val="left"/>
        <w:textAlignment w:val="auto"/>
        <w:outlineLvl w:val="9"/>
        <w:rPr>
          <w:rFonts w:hint="eastAsia" w:ascii="宋体" w:hAnsi="宋体"/>
          <w:b/>
          <w:color w:val="auto"/>
          <w:spacing w:val="10"/>
          <w:sz w:val="24"/>
          <w:highlight w:val="none"/>
        </w:rPr>
      </w:pPr>
      <w:r>
        <w:rPr>
          <w:rFonts w:hint="eastAsia" w:ascii="宋体" w:hAnsi="宋体"/>
          <w:b/>
          <w:color w:val="auto"/>
          <w:spacing w:val="10"/>
          <w:sz w:val="24"/>
          <w:highlight w:val="none"/>
        </w:rPr>
        <w:t>第</w:t>
      </w:r>
      <w:r>
        <w:rPr>
          <w:rFonts w:hint="eastAsia" w:ascii="宋体" w:hAnsi="宋体"/>
          <w:b/>
          <w:color w:val="auto"/>
          <w:spacing w:val="10"/>
          <w:sz w:val="24"/>
          <w:highlight w:val="none"/>
          <w:lang w:val="en-US" w:eastAsia="zh-CN"/>
        </w:rPr>
        <w:t>六</w:t>
      </w:r>
      <w:r>
        <w:rPr>
          <w:rFonts w:hint="eastAsia" w:ascii="宋体" w:hAnsi="宋体"/>
          <w:b/>
          <w:color w:val="auto"/>
          <w:spacing w:val="10"/>
          <w:sz w:val="24"/>
          <w:highlight w:val="none"/>
        </w:rPr>
        <w:t>条  现场代表</w:t>
      </w:r>
    </w:p>
    <w:p w14:paraId="69025D14">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u w:val="single"/>
        </w:rPr>
      </w:pPr>
      <w:r>
        <w:rPr>
          <w:rFonts w:hint="eastAsia" w:ascii="宋体" w:hAnsi="宋体"/>
          <w:color w:val="auto"/>
          <w:spacing w:val="10"/>
          <w:sz w:val="24"/>
          <w:highlight w:val="none"/>
          <w:lang w:val="en-US" w:eastAsia="zh-CN"/>
        </w:rPr>
        <w:t>6</w:t>
      </w:r>
      <w:r>
        <w:rPr>
          <w:rFonts w:hint="eastAsia" w:ascii="宋体" w:hAnsi="宋体"/>
          <w:color w:val="auto"/>
          <w:spacing w:val="10"/>
          <w:sz w:val="24"/>
          <w:highlight w:val="none"/>
        </w:rPr>
        <w:t>.1</w:t>
      </w:r>
      <w:r>
        <w:rPr>
          <w:rFonts w:hint="eastAsia" w:ascii="宋体" w:hAnsi="宋体"/>
          <w:color w:val="auto"/>
          <w:spacing w:val="10"/>
          <w:sz w:val="24"/>
          <w:highlight w:val="none"/>
          <w:lang w:val="en-US" w:eastAsia="zh-CN"/>
        </w:rPr>
        <w:t xml:space="preserve"> </w:t>
      </w:r>
      <w:r>
        <w:rPr>
          <w:rFonts w:hint="eastAsia" w:ascii="宋体" w:hAnsi="宋体"/>
          <w:color w:val="auto"/>
          <w:spacing w:val="10"/>
          <w:sz w:val="24"/>
          <w:highlight w:val="none"/>
        </w:rPr>
        <w:t>甲方确定</w:t>
      </w:r>
      <w:r>
        <w:rPr>
          <w:rFonts w:hint="eastAsia" w:ascii="宋体" w:hAnsi="宋体"/>
          <w:color w:val="auto"/>
          <w:spacing w:val="10"/>
          <w:sz w:val="24"/>
          <w:highlight w:val="none"/>
          <w:u w:val="single"/>
        </w:rPr>
        <w:t xml:space="preserve"> </w:t>
      </w:r>
      <w:permStart w:id="46" w:edGrp="everyone"/>
      <w:r>
        <w:rPr>
          <w:rFonts w:hint="eastAsia" w:ascii="宋体" w:hAnsi="宋体"/>
          <w:color w:val="auto"/>
          <w:spacing w:val="10"/>
          <w:sz w:val="24"/>
          <w:highlight w:val="none"/>
          <w:u w:val="single"/>
        </w:rPr>
        <w:t xml:space="preserve"> </w:t>
      </w:r>
      <w:r>
        <w:rPr>
          <w:rFonts w:hint="eastAsia" w:ascii="宋体" w:hAnsi="宋体"/>
          <w:color w:val="auto"/>
          <w:spacing w:val="10"/>
          <w:sz w:val="24"/>
          <w:highlight w:val="none"/>
          <w:u w:val="single"/>
          <w:lang w:val="en-US" w:eastAsia="zh-CN"/>
        </w:rPr>
        <w:t>陈吓勇</w:t>
      </w:r>
      <w:r>
        <w:rPr>
          <w:rFonts w:hint="eastAsia" w:ascii="宋体" w:hAnsi="宋体"/>
          <w:color w:val="auto"/>
          <w:spacing w:val="10"/>
          <w:sz w:val="24"/>
          <w:highlight w:val="none"/>
          <w:u w:val="single"/>
        </w:rPr>
        <w:t xml:space="preserve"> </w:t>
      </w:r>
      <w:permEnd w:id="46"/>
      <w:r>
        <w:rPr>
          <w:rFonts w:hint="eastAsia" w:ascii="宋体" w:hAnsi="宋体"/>
          <w:color w:val="auto"/>
          <w:spacing w:val="10"/>
          <w:sz w:val="24"/>
          <w:highlight w:val="none"/>
          <w:u w:val="single"/>
        </w:rPr>
        <w:t xml:space="preserve"> </w:t>
      </w:r>
      <w:r>
        <w:rPr>
          <w:rFonts w:hint="eastAsia" w:ascii="宋体" w:hAnsi="宋体"/>
          <w:color w:val="auto"/>
          <w:spacing w:val="10"/>
          <w:sz w:val="24"/>
          <w:highlight w:val="none"/>
        </w:rPr>
        <w:t>同志为现场代表。</w:t>
      </w:r>
    </w:p>
    <w:p w14:paraId="2CDBA84A">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rPr>
      </w:pPr>
      <w:r>
        <w:rPr>
          <w:rFonts w:hint="eastAsia" w:ascii="宋体" w:hAnsi="宋体"/>
          <w:color w:val="auto"/>
          <w:spacing w:val="10"/>
          <w:sz w:val="24"/>
          <w:highlight w:val="none"/>
          <w:lang w:val="en-US" w:eastAsia="zh-CN"/>
        </w:rPr>
        <w:t>6</w:t>
      </w:r>
      <w:r>
        <w:rPr>
          <w:rFonts w:hint="eastAsia" w:ascii="宋体" w:hAnsi="宋体"/>
          <w:color w:val="auto"/>
          <w:spacing w:val="10"/>
          <w:sz w:val="24"/>
          <w:highlight w:val="none"/>
        </w:rPr>
        <w:t>.2</w:t>
      </w:r>
      <w:r>
        <w:rPr>
          <w:rFonts w:hint="eastAsia" w:ascii="宋体" w:hAnsi="宋体"/>
          <w:color w:val="auto"/>
          <w:spacing w:val="10"/>
          <w:sz w:val="24"/>
          <w:highlight w:val="none"/>
          <w:lang w:val="en-US" w:eastAsia="zh-CN"/>
        </w:rPr>
        <w:t xml:space="preserve"> </w:t>
      </w:r>
      <w:r>
        <w:rPr>
          <w:rFonts w:hint="eastAsia" w:ascii="宋体" w:hAnsi="宋体"/>
          <w:color w:val="auto"/>
          <w:spacing w:val="10"/>
          <w:sz w:val="24"/>
          <w:highlight w:val="none"/>
        </w:rPr>
        <w:t>乙方确定</w:t>
      </w:r>
      <w:r>
        <w:rPr>
          <w:rFonts w:hint="eastAsia" w:ascii="宋体" w:hAnsi="宋体"/>
          <w:color w:val="auto"/>
          <w:spacing w:val="10"/>
          <w:sz w:val="24"/>
          <w:highlight w:val="none"/>
          <w:u w:val="single"/>
        </w:rPr>
        <w:t xml:space="preserve"> </w:t>
      </w:r>
      <w:permStart w:id="47" w:edGrp="everyone"/>
      <w:r>
        <w:rPr>
          <w:rFonts w:hint="eastAsia" w:ascii="宋体" w:hAnsi="宋体"/>
          <w:color w:val="auto"/>
          <w:spacing w:val="10"/>
          <w:sz w:val="24"/>
          <w:highlight w:val="none"/>
          <w:u w:val="single"/>
        </w:rPr>
        <w:t xml:space="preserve"> </w:t>
      </w:r>
      <w:r>
        <w:rPr>
          <w:rFonts w:hint="eastAsia" w:ascii="宋体" w:hAnsi="宋体"/>
          <w:color w:val="auto"/>
          <w:spacing w:val="10"/>
          <w:sz w:val="24"/>
          <w:highlight w:val="none"/>
          <w:u w:val="single"/>
          <w:lang w:val="en-US" w:eastAsia="zh-CN"/>
        </w:rPr>
        <w:t xml:space="preserve">      </w:t>
      </w:r>
      <w:r>
        <w:rPr>
          <w:rFonts w:hint="eastAsia" w:ascii="宋体" w:hAnsi="宋体"/>
          <w:color w:val="auto"/>
          <w:spacing w:val="10"/>
          <w:sz w:val="24"/>
          <w:highlight w:val="none"/>
          <w:u w:val="single"/>
        </w:rPr>
        <w:t xml:space="preserve"> </w:t>
      </w:r>
      <w:permEnd w:id="47"/>
      <w:r>
        <w:rPr>
          <w:rFonts w:hint="eastAsia" w:ascii="宋体" w:hAnsi="宋体"/>
          <w:color w:val="auto"/>
          <w:spacing w:val="10"/>
          <w:sz w:val="24"/>
          <w:highlight w:val="none"/>
          <w:u w:val="single"/>
        </w:rPr>
        <w:t xml:space="preserve"> </w:t>
      </w:r>
      <w:r>
        <w:rPr>
          <w:rFonts w:hint="eastAsia" w:ascii="宋体" w:hAnsi="宋体"/>
          <w:color w:val="auto"/>
          <w:spacing w:val="10"/>
          <w:sz w:val="24"/>
          <w:highlight w:val="none"/>
        </w:rPr>
        <w:t>同志为现场代表。负责协议项下的施工管理、经济签证工作，收付款等事项办理。乙方代表必须常住工地，与甲方保持联系，以保证施工顺利进行。乙方代表离岗必须向甲方请假并委托现场负责人，否则甲方按10000元/人*天向甲方偿还违约金。</w:t>
      </w:r>
    </w:p>
    <w:p w14:paraId="013D6344">
      <w:pPr>
        <w:keepNext w:val="0"/>
        <w:keepLines w:val="0"/>
        <w:pageBreakBefore w:val="0"/>
        <w:widowControl w:val="0"/>
        <w:kinsoku/>
        <w:overflowPunct/>
        <w:topLinePunct w:val="0"/>
        <w:autoSpaceDE/>
        <w:autoSpaceDN/>
        <w:bidi w:val="0"/>
        <w:adjustRightInd/>
        <w:spacing w:line="408" w:lineRule="auto"/>
        <w:ind w:left="0" w:firstLine="0" w:firstLineChars="0"/>
        <w:jc w:val="left"/>
        <w:textAlignment w:val="auto"/>
        <w:outlineLvl w:val="9"/>
        <w:rPr>
          <w:rFonts w:hint="eastAsia" w:ascii="宋体" w:hAnsi="宋体"/>
          <w:b/>
          <w:color w:val="auto"/>
          <w:spacing w:val="10"/>
          <w:sz w:val="24"/>
          <w:highlight w:val="none"/>
        </w:rPr>
      </w:pPr>
    </w:p>
    <w:p w14:paraId="106F5EBA">
      <w:pPr>
        <w:keepNext w:val="0"/>
        <w:keepLines w:val="0"/>
        <w:pageBreakBefore w:val="0"/>
        <w:widowControl w:val="0"/>
        <w:kinsoku/>
        <w:overflowPunct/>
        <w:topLinePunct w:val="0"/>
        <w:autoSpaceDE/>
        <w:autoSpaceDN/>
        <w:bidi w:val="0"/>
        <w:adjustRightInd/>
        <w:spacing w:line="408" w:lineRule="auto"/>
        <w:ind w:left="0" w:firstLine="0" w:firstLineChars="0"/>
        <w:jc w:val="left"/>
        <w:textAlignment w:val="auto"/>
        <w:outlineLvl w:val="9"/>
        <w:rPr>
          <w:rFonts w:hint="eastAsia" w:ascii="宋体" w:hAnsi="宋体"/>
          <w:b/>
          <w:color w:val="auto"/>
          <w:spacing w:val="10"/>
          <w:sz w:val="24"/>
          <w:highlight w:val="none"/>
        </w:rPr>
      </w:pPr>
      <w:r>
        <w:rPr>
          <w:rFonts w:hint="eastAsia" w:ascii="宋体" w:hAnsi="宋体"/>
          <w:b/>
          <w:color w:val="auto"/>
          <w:spacing w:val="10"/>
          <w:sz w:val="24"/>
          <w:highlight w:val="none"/>
        </w:rPr>
        <w:t>第</w:t>
      </w:r>
      <w:r>
        <w:rPr>
          <w:rFonts w:hint="eastAsia" w:ascii="宋体" w:hAnsi="宋体"/>
          <w:b/>
          <w:color w:val="auto"/>
          <w:spacing w:val="10"/>
          <w:sz w:val="24"/>
          <w:highlight w:val="none"/>
          <w:lang w:val="en-US" w:eastAsia="zh-CN"/>
        </w:rPr>
        <w:t>七</w:t>
      </w:r>
      <w:r>
        <w:rPr>
          <w:rFonts w:hint="eastAsia" w:ascii="宋体" w:hAnsi="宋体"/>
          <w:b/>
          <w:color w:val="auto"/>
          <w:spacing w:val="10"/>
          <w:sz w:val="24"/>
          <w:highlight w:val="none"/>
        </w:rPr>
        <w:t>条  甲方工作与责任</w:t>
      </w:r>
    </w:p>
    <w:p w14:paraId="4CAEEE1E">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rPr>
      </w:pPr>
      <w:r>
        <w:rPr>
          <w:rFonts w:hint="eastAsia" w:ascii="宋体" w:hAnsi="宋体"/>
          <w:color w:val="auto"/>
          <w:spacing w:val="10"/>
          <w:sz w:val="24"/>
          <w:highlight w:val="none"/>
          <w:lang w:val="en-US" w:eastAsia="zh-CN"/>
        </w:rPr>
        <w:t>7</w:t>
      </w:r>
      <w:r>
        <w:rPr>
          <w:rFonts w:hint="eastAsia" w:ascii="宋体" w:hAnsi="宋体"/>
          <w:color w:val="auto"/>
          <w:spacing w:val="10"/>
          <w:sz w:val="24"/>
          <w:highlight w:val="none"/>
        </w:rPr>
        <w:t>.1</w:t>
      </w:r>
      <w:r>
        <w:rPr>
          <w:rFonts w:hint="eastAsia" w:ascii="宋体" w:hAnsi="宋体"/>
          <w:color w:val="auto"/>
          <w:spacing w:val="10"/>
          <w:sz w:val="24"/>
          <w:highlight w:val="none"/>
          <w:lang w:val="en-US" w:eastAsia="zh-CN"/>
        </w:rPr>
        <w:t xml:space="preserve"> </w:t>
      </w:r>
      <w:r>
        <w:rPr>
          <w:rFonts w:hint="eastAsia" w:ascii="宋体" w:hAnsi="宋体"/>
          <w:color w:val="auto"/>
          <w:spacing w:val="10"/>
          <w:sz w:val="24"/>
          <w:highlight w:val="none"/>
        </w:rPr>
        <w:t>统一向业主领取施工图纸及有关技术资料后，提供给乙方壹套，并负责组织技术交底。</w:t>
      </w:r>
    </w:p>
    <w:p w14:paraId="75D0C287">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7.2 负责组织编制施工组织设计，安排项目施工总进度计划。</w:t>
      </w:r>
    </w:p>
    <w:p w14:paraId="41821634">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7.3 负责与业主之间的协调与联系。</w:t>
      </w:r>
    </w:p>
    <w:p w14:paraId="24538AC9">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7.4 负责对分包项目的施工与技术、项目质量、安全生产等各个方面进行检查与监督。</w:t>
      </w:r>
    </w:p>
    <w:p w14:paraId="3768C884">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7.5 负责组织项目验收，包括中间交验与隐蔽项目验收，统一向业主单位办理交验手续。</w:t>
      </w:r>
    </w:p>
    <w:p w14:paraId="6B9AE22D">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7.6 负责统一向建设单位收取工程款项之后，向乙方支付分包款。</w:t>
      </w:r>
    </w:p>
    <w:p w14:paraId="16682FCF">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7.7 统筹规划乙方的生产与生活临时设施，并有权根据实际情况从乙方工程款中代付乙方劳务人员工资及各种材料、水、电等费用。（费用由乙方承担）</w:t>
      </w:r>
    </w:p>
    <w:p w14:paraId="4A469B0C">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7.8 由于乙方生产要素不能满足本工程合同要求，甲方有权向乙方下达限期整改指令，逾期不整改或整改未达到甲方要求时，甲方有权没收全部或部分履约保证金，并有权终止合同或调整乙方的施工范围，因调整乙方施工范围造成甲方损失的由乙方承担。乙方应在接到甲方终止合同通知3天内将人员、机械等撤离现场，撤离费用由乙方承担，如果3天内不能撤离，乙方还须承担由此发生的治安责任和经济责任。</w:t>
      </w:r>
    </w:p>
    <w:p w14:paraId="0A075015">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7.9 乙方需要更换现场负责人或其他主要项目管理人员的，应提前7天书面通知甲方，并征得甲方书面同意。未经甲方书面同意，乙方不得擅自更换。否则，乙方应按照5000元/人向甲方支付违约金，且甲方有权解除合同。甲方有权书面通知乙方更换不称职的现场负责人或其他主要管理人员，乙方应在接到更换通知后7天内进行更换。否则，乙方应按照5000元/人向甲方支付违约金且甲方有权解除合同。</w:t>
      </w:r>
    </w:p>
    <w:p w14:paraId="7360B19C">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rPr>
      </w:pPr>
      <w:r>
        <w:rPr>
          <w:rFonts w:hint="eastAsia" w:ascii="宋体" w:hAnsi="宋体"/>
          <w:color w:val="auto"/>
          <w:spacing w:val="10"/>
          <w:sz w:val="24"/>
          <w:highlight w:val="none"/>
          <w:lang w:val="en-US" w:eastAsia="zh-CN"/>
        </w:rPr>
        <w:t xml:space="preserve">7.10 </w:t>
      </w:r>
      <w:r>
        <w:rPr>
          <w:rFonts w:hint="eastAsia" w:ascii="宋体" w:hAnsi="宋体"/>
          <w:color w:val="auto"/>
          <w:spacing w:val="10"/>
          <w:sz w:val="24"/>
          <w:highlight w:val="none"/>
        </w:rPr>
        <w:t>对于符合甲方要求，在本项目施工的乙方员工，在项目施工期间有偿提供每人两套甲方统一工作服（</w:t>
      </w:r>
      <w:r>
        <w:rPr>
          <w:rFonts w:hint="eastAsia" w:ascii="宋体" w:hAnsi="宋体"/>
          <w:color w:val="auto"/>
          <w:spacing w:val="10"/>
          <w:sz w:val="24"/>
          <w:highlight w:val="none"/>
          <w:lang w:val="en-US" w:eastAsia="zh-CN"/>
        </w:rPr>
        <w:t>冬季90</w:t>
      </w:r>
      <w:r>
        <w:rPr>
          <w:rFonts w:hint="eastAsia" w:ascii="宋体" w:hAnsi="宋体"/>
          <w:color w:val="auto"/>
          <w:spacing w:val="10"/>
          <w:sz w:val="24"/>
          <w:highlight w:val="none"/>
        </w:rPr>
        <w:t>元/套</w:t>
      </w:r>
      <w:r>
        <w:rPr>
          <w:rFonts w:hint="eastAsia" w:ascii="宋体" w:hAnsi="宋体"/>
          <w:color w:val="auto"/>
          <w:spacing w:val="10"/>
          <w:sz w:val="24"/>
          <w:highlight w:val="none"/>
          <w:lang w:eastAsia="zh-CN"/>
        </w:rPr>
        <w:t>，</w:t>
      </w:r>
      <w:r>
        <w:rPr>
          <w:rFonts w:hint="eastAsia" w:ascii="宋体" w:hAnsi="宋体"/>
          <w:color w:val="auto"/>
          <w:spacing w:val="10"/>
          <w:sz w:val="24"/>
          <w:highlight w:val="none"/>
          <w:lang w:val="en-US" w:eastAsia="zh-CN"/>
        </w:rPr>
        <w:t>夏季115元/套</w:t>
      </w:r>
      <w:r>
        <w:rPr>
          <w:rFonts w:hint="eastAsia" w:ascii="宋体" w:hAnsi="宋体"/>
          <w:color w:val="auto"/>
          <w:spacing w:val="10"/>
          <w:sz w:val="24"/>
          <w:highlight w:val="none"/>
          <w:lang w:eastAsia="zh-CN"/>
        </w:rPr>
        <w:t>）</w:t>
      </w:r>
      <w:r>
        <w:rPr>
          <w:rFonts w:hint="eastAsia" w:ascii="宋体" w:hAnsi="宋体"/>
          <w:color w:val="auto"/>
          <w:spacing w:val="10"/>
          <w:sz w:val="24"/>
          <w:highlight w:val="none"/>
        </w:rPr>
        <w:t>、每人壹顶甲方统一安全帽（</w:t>
      </w:r>
      <w:r>
        <w:rPr>
          <w:rFonts w:hint="eastAsia" w:ascii="宋体" w:hAnsi="宋体"/>
          <w:color w:val="auto"/>
          <w:spacing w:val="10"/>
          <w:sz w:val="24"/>
          <w:highlight w:val="none"/>
          <w:lang w:val="en-US" w:eastAsia="zh-CN"/>
        </w:rPr>
        <w:t>25</w:t>
      </w:r>
      <w:r>
        <w:rPr>
          <w:rFonts w:hint="eastAsia" w:ascii="宋体" w:hAnsi="宋体"/>
          <w:color w:val="auto"/>
          <w:spacing w:val="10"/>
          <w:sz w:val="24"/>
          <w:highlight w:val="none"/>
        </w:rPr>
        <w:t>元/顶</w:t>
      </w:r>
      <w:r>
        <w:rPr>
          <w:rFonts w:hint="eastAsia" w:ascii="宋体" w:hAnsi="宋体"/>
          <w:color w:val="auto"/>
          <w:spacing w:val="10"/>
          <w:sz w:val="24"/>
          <w:highlight w:val="none"/>
          <w:lang w:eastAsia="zh-CN"/>
        </w:rPr>
        <w:t>）</w:t>
      </w:r>
      <w:r>
        <w:rPr>
          <w:rFonts w:hint="eastAsia" w:ascii="宋体" w:hAnsi="宋体"/>
          <w:color w:val="auto"/>
          <w:spacing w:val="10"/>
          <w:sz w:val="24"/>
          <w:highlight w:val="none"/>
        </w:rPr>
        <w:t>。</w:t>
      </w:r>
    </w:p>
    <w:p w14:paraId="1597DABF">
      <w:pPr>
        <w:keepNext w:val="0"/>
        <w:keepLines w:val="0"/>
        <w:pageBreakBefore w:val="0"/>
        <w:widowControl w:val="0"/>
        <w:kinsoku/>
        <w:overflowPunct/>
        <w:topLinePunct w:val="0"/>
        <w:autoSpaceDE/>
        <w:autoSpaceDN/>
        <w:bidi w:val="0"/>
        <w:adjustRightInd/>
        <w:spacing w:line="408" w:lineRule="auto"/>
        <w:ind w:left="0" w:firstLine="0" w:firstLineChars="0"/>
        <w:jc w:val="left"/>
        <w:textAlignment w:val="auto"/>
        <w:outlineLvl w:val="9"/>
        <w:rPr>
          <w:rFonts w:hint="eastAsia" w:ascii="宋体" w:hAnsi="宋体"/>
          <w:b/>
          <w:color w:val="auto"/>
          <w:spacing w:val="10"/>
          <w:sz w:val="24"/>
          <w:highlight w:val="none"/>
        </w:rPr>
      </w:pPr>
      <w:r>
        <w:rPr>
          <w:rFonts w:hint="eastAsia" w:ascii="宋体" w:hAnsi="宋体"/>
          <w:b/>
          <w:color w:val="auto"/>
          <w:spacing w:val="10"/>
          <w:sz w:val="24"/>
          <w:highlight w:val="none"/>
        </w:rPr>
        <w:t>第</w:t>
      </w:r>
      <w:r>
        <w:rPr>
          <w:rFonts w:hint="eastAsia" w:ascii="宋体" w:hAnsi="宋体"/>
          <w:b/>
          <w:color w:val="auto"/>
          <w:spacing w:val="10"/>
          <w:sz w:val="24"/>
          <w:highlight w:val="none"/>
          <w:lang w:val="en-US" w:eastAsia="zh-CN"/>
        </w:rPr>
        <w:t>八</w:t>
      </w:r>
      <w:r>
        <w:rPr>
          <w:rFonts w:hint="eastAsia" w:ascii="宋体" w:hAnsi="宋体"/>
          <w:b/>
          <w:color w:val="auto"/>
          <w:spacing w:val="10"/>
          <w:sz w:val="24"/>
          <w:highlight w:val="none"/>
        </w:rPr>
        <w:t xml:space="preserve">条 </w:t>
      </w:r>
      <w:r>
        <w:rPr>
          <w:rFonts w:hint="eastAsia" w:ascii="宋体" w:hAnsi="宋体"/>
          <w:b/>
          <w:color w:val="auto"/>
          <w:spacing w:val="10"/>
          <w:sz w:val="24"/>
          <w:highlight w:val="none"/>
          <w:lang w:val="en-US" w:eastAsia="zh-CN"/>
        </w:rPr>
        <w:t xml:space="preserve"> </w:t>
      </w:r>
      <w:r>
        <w:rPr>
          <w:rFonts w:hint="eastAsia" w:ascii="宋体" w:hAnsi="宋体"/>
          <w:b/>
          <w:color w:val="auto"/>
          <w:spacing w:val="10"/>
          <w:sz w:val="24"/>
          <w:highlight w:val="none"/>
        </w:rPr>
        <w:t>乙方工作与责任</w:t>
      </w:r>
    </w:p>
    <w:p w14:paraId="228E6259">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8.1 对所分包工程从施工准备至交工验收等全过程负有直接的管理责任，保证项目质量，确保安全施工，确保项目按本合同规定的工期完成。若因乙方原因发生工程质量事故、设备事故和人员伤亡事故，所造成的一切损失均由乙方承担。</w:t>
      </w:r>
    </w:p>
    <w:p w14:paraId="4D3757E1">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8.2 负责编制分包项目预（结）算，并按甲方要求编制结算书。如乙方未能按甲方编制分包结算结算，所造成的损失由乙方承担。</w:t>
      </w:r>
    </w:p>
    <w:p w14:paraId="1E91DB98">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8.3 按甲方要求的时间及时向甲方提供施工计划、统计经济、施工与技术、质量、安全等方面的报表与资料。</w:t>
      </w:r>
    </w:p>
    <w:p w14:paraId="01BA6DE1">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8.4 服从甲方和业主的协调与指挥，自觉配合并做好甲方与业主布置的各项工作，遵守总包合同中对质量、安全、进度、安全文明、环境保护和职业健康、HSE、工程资料文档等方面的规定，如有违背，依据总包合同中的规定承担罚款和违约费用。</w:t>
      </w:r>
    </w:p>
    <w:p w14:paraId="392B58D9">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8.5 自觉接受并配合甲方与业主的质量监督检验和交工验收工作，及时提供各项交验资料，并承担质量责任。乙方应做好各种文件资料的备份存档工作，确保竣工资料的完整。</w:t>
      </w:r>
    </w:p>
    <w:p w14:paraId="51601553">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8.6 严格按甲方及规范要求的施工工艺进行施工，严禁违规作业。</w:t>
      </w:r>
    </w:p>
    <w:p w14:paraId="420FA03D">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8.7 乙方应负责教育管理其进场人员严格遵守国家法规，遵守甲方和业主的有关规章制度和安全操作规程。若因乙方或乙方管理不力发生违法、违规事件，一切责任由乙方承担。</w:t>
      </w:r>
    </w:p>
    <w:p w14:paraId="66CAFAB8">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8.8 根据甲方要求提供足够数量的工作人员和管理人员，岗位和资历须符合甲方要求。按甲方要求及时提供能满足工程进度、质量要求的人力和机具。甲方根据工程需要要求乙方增加人力和机具时，乙方应随时满足甲方要求，否则甲方有权终止合同。</w:t>
      </w:r>
    </w:p>
    <w:p w14:paraId="793FFB29">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8.9 乙方应负责教育管理其进场人员，维护甲方权益，保证不发生有损甲方声誉的各种言行。</w:t>
      </w:r>
    </w:p>
    <w:p w14:paraId="00370DCB">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8.10 如有甲方提供乙方使用的工机具，按甲方的租赁价格计价，在乙方的工程款中扣除（合同约定由甲方承担的机具除外）；在办理领用之后，乙方应对工机具负妥善保管之责，不得遗失或毁损，否则依实际价格及损失由乙方赔偿（按规定批准报损除外）。</w:t>
      </w:r>
    </w:p>
    <w:p w14:paraId="1B545693">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8.11 乙方应针对工程施工特点，对其进场人员和机具进行必要的保险，费用由乙方自负并承担相应责任。</w:t>
      </w:r>
    </w:p>
    <w:p w14:paraId="5F5114AD">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8.12 乙方人员应按甲方要求统一着装，由甲方有偿提供工作服，费用在进度及结算时扣回。工作服（冬季90元/套，夏季115元/套）、安全帽（25元/顶）。</w:t>
      </w:r>
    </w:p>
    <w:p w14:paraId="6E1C6A1E">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8.13 乙方在施工过程中应采取足够、有效的措施，确保环境不受污染。</w:t>
      </w:r>
    </w:p>
    <w:p w14:paraId="3B8DA29B">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8.14 乙方应严格遵守甲方质量管理、环境管理、职业健康安全管理“三个体系”的要求，按照甲方体系运行的有关规定实现质量、环境和职业健康安全的规范控制。</w:t>
      </w:r>
    </w:p>
    <w:p w14:paraId="596378E9">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8.15 因业主对安全文明施工、环境卫生管理要求极高，诸如明火作业须经许可、工作服及劳保用品穿戴必须整齐规范、施工和生活垃圾定点收集严禁乱堆乱扔、要求工完场清等，乙方必须严格遵守。如因乙方违反造成罚款，概由乙方承担。</w:t>
      </w:r>
    </w:p>
    <w:p w14:paraId="11C29734">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8.16 乙方对劳务的使用必须按照最新的《劳动协议法》及其相关法律法规的要求并承担所有费用。乙方应与其服务于本工程的所有人员签订劳务协议，明确乙方和其劳务人员的权利和义务，并为其所有人员缴纳相关社保及国家规定的保险，按时发放工资；乙方应建立作业人员台帐（花名册），详细记录作业人员的姓名、性别、年龄、身份证号、从事的工种、持有的证件名称、去留时间、电话号码等，并及时向甲方报备；当人员发生变化时，及时主动和甲方取得联系，使甲方随时掌握劳务人员的动向。乙方与其劳务人员之间发生的一切经济纠纷及其它法律责任均由乙方负责，甲方不承担任何责任。若由乙方原因发生工人投诉、罢工、聚众闹事等行为，给甲方造成不良社会影响或经济损失的，甲方有权解除协议并由乙方承担相应责任及全部费用，甲方并视情节轻重给予乙方5-10万元的违约金处罚。同时乙方应按时计量，保证按月及时、足额支付工人工资。如乙方发生拖欠工人工资的情形，甲方认为需要，则有权代为支付；并有权从乙方工程款中扣除，或直接向乙方追偿；如甲方因代付乙方工人工资而向乙方追偿，乙方负有无条件赔付的义务。如因乙方拖欠工人工资而影响甲方声誉的，乙方应按合同总价的10%赔偿甲方信誉损失。</w:t>
      </w:r>
    </w:p>
    <w:p w14:paraId="216CE5DE">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8.17 乙方应提供所雇的进场人员名册、资格证、护照和当地政府要求提供的各种证件、资料等。</w:t>
      </w:r>
    </w:p>
    <w:p w14:paraId="2114FD2B">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8.18 进入生产区域必须按规定穿戴好带工作服、劳保鞋、安全帽和其他劳动防护用品。参加施工的人员，必须接受安全技术教育，熟知和遵守本工种的各项安全技术操作规程，定期进行安全技术考核，并具备对应的在有效期内的岗位证书，合格者方准上岗操作。</w:t>
      </w:r>
    </w:p>
    <w:p w14:paraId="45A7C1C6">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8.19 保证施工场地清洁符合环境卫生管理的有关规定，交工前清理现场达到专用条款约定的要求，承担因自身原因违反有关规定造成的损失和罚款；垃圾应堆放在业主指定区域，多余甲供材料应退还甲方，不能堆放垃圾场，否则将根据规定罚款。</w:t>
      </w:r>
    </w:p>
    <w:p w14:paraId="038763A6">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8.20 焊工考核。凡参加项目焊接操作人员，应先按照《特种设备焊接操作人员考核细则》，取得省市质量技术监督局颁发的相应焊接技能资格证书，才能参加业主质量部组织的焊接操作人员上岗作业前的现场操作技能考核验证。乙方的焊工进场施工前，需经甲方指定的地点进行入场考试，不合格的由乙方承担费用和责任。</w:t>
      </w:r>
    </w:p>
    <w:p w14:paraId="6EB23BDE">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8.21 本项目的无损检测分为独立的第三方无损检测、监督检验方无损检测。所有进场的设备、材料在使用前,根据规范要求，经检验合格后方可使用。</w:t>
      </w:r>
    </w:p>
    <w:p w14:paraId="335B0101">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8.22 按照相关标准规范阀门安装前必须进行试压，由业主负责，甲乙双方见证。</w:t>
      </w:r>
    </w:p>
    <w:p w14:paraId="74EE25E6">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8.23 各类管道在预制及安装过程中要确保内部的清洁度，应采取塑料堵头等措施对管道两端进行封堵。现场所有的管道焊接（双面焊除外）均采用氩电联焊的方式进行焊接。对于小管径DN≤50以下的，必须采用全氩弧焊接。</w:t>
      </w:r>
    </w:p>
    <w:p w14:paraId="543FA19A">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8.24 现场钢结构高强度螺栓，合金钢、低温钢、高温、高压、临氢或高危害介质的法兰螺栓均采用力矩扳手或液压拉伸的方法进行紧固，不允许采用锤击等有可能损毁紧固元件的方法进行螺栓紧固：1）属于特种设备管辖范畴的设备法兰、管道法兰，螺栓规格M25及以上的全部采用液压扳手或液压拉伸器定力矩紧固，M25以下的采用手动力矩扳手或风动力矩扳手紧固。2）不属于特种设备管辖范畴的设备法兰、管道法兰，螺栓规格M50及以上的全部采用液压扳手或液压拉伸器定力矩紧固，M50以下的采用手动力矩扳手或风动力矩扳手紧固。3）不同规格及运行工况的扭矩值估算、螺栓检查与清洁、紧固方案等要求以及其它部位的螺栓紧固执行《法兰安装螺栓紧固管理规定》（ZLH1-QAC-STD-0004）。4）乙方在现场必须配备满足需求的力矩扳手及四同步以上的液压力矩扳手。施工过程中建立可追溯的静密封安装档案。</w:t>
      </w:r>
    </w:p>
    <w:p w14:paraId="24E26EF3">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8.25 现场实行首件样板制，首件样板由甲方、监理、业主进行联合验收，验收合格的首件样板作为后续相同工序的验收标准。</w:t>
      </w:r>
    </w:p>
    <w:p w14:paraId="3CB6BF24">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8.26 本项目涉及的无损探伤均由业主委托，乙方必须配合探伤单位进行检测，焊缝一次合格率为96%（装置张数比），当一次合格率低于96%时，低于96%部分的返修、反拍、扩拍片费用由乙方承担，甲方仅承担96%以上部分的第一次返修拍片、扩拍费用。监督检验方抽拍的不合格片子等费用一律由乙方承担。根据探伤单位提供的探伤报告，在工程进度款中进行扣除，如乙方拒付此费用，由此引起的一切后果由乙方承担。</w:t>
      </w:r>
    </w:p>
    <w:p w14:paraId="2CEB83E7">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8.27 如在该工程界区内无续建工程，在签署工程交工证书后三十日内撤离施工现场，清除并运走乙方的施工设备、施工机具（保运、保修人员及所需机具和物资除外）、剩余材料、残物、垃圾和临时设施。乙方应使该部分施工现场和工程处于清洁和安全的状态。如乙方违约，甲方有权自行处理乙方在施工现场的财产，所发生的费用由乙方支付。</w:t>
      </w:r>
    </w:p>
    <w:p w14:paraId="01685569">
      <w:pPr>
        <w:keepNext w:val="0"/>
        <w:keepLines w:val="0"/>
        <w:pageBreakBefore w:val="0"/>
        <w:widowControl w:val="0"/>
        <w:kinsoku/>
        <w:overflowPunct/>
        <w:topLinePunct w:val="0"/>
        <w:autoSpaceDE/>
        <w:autoSpaceDN/>
        <w:bidi w:val="0"/>
        <w:adjustRightInd/>
        <w:spacing w:line="408" w:lineRule="auto"/>
        <w:ind w:left="0" w:firstLine="0" w:firstLineChars="0"/>
        <w:jc w:val="left"/>
        <w:textAlignment w:val="auto"/>
        <w:outlineLvl w:val="9"/>
        <w:rPr>
          <w:rFonts w:hint="default" w:ascii="宋体" w:hAnsi="宋体"/>
          <w:b/>
          <w:color w:val="auto"/>
          <w:spacing w:val="10"/>
          <w:sz w:val="24"/>
          <w:highlight w:val="none"/>
          <w:lang w:val="en-US" w:eastAsia="zh-CN"/>
        </w:rPr>
      </w:pPr>
      <w:r>
        <w:rPr>
          <w:rFonts w:hint="default" w:ascii="宋体" w:hAnsi="宋体"/>
          <w:b/>
          <w:color w:val="auto"/>
          <w:spacing w:val="10"/>
          <w:sz w:val="24"/>
          <w:highlight w:val="none"/>
          <w:lang w:val="en-US" w:eastAsia="zh-CN"/>
        </w:rPr>
        <w:t>第九条  农民工工资支付要求</w:t>
      </w:r>
    </w:p>
    <w:p w14:paraId="7138E2D3">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default" w:ascii="宋体" w:hAnsi="宋体"/>
          <w:color w:val="auto"/>
          <w:spacing w:val="10"/>
          <w:sz w:val="24"/>
          <w:highlight w:val="none"/>
          <w:lang w:val="en-US" w:eastAsia="zh-CN"/>
        </w:rPr>
      </w:pPr>
      <w:r>
        <w:rPr>
          <w:rFonts w:hint="default" w:ascii="宋体" w:hAnsi="宋体"/>
          <w:color w:val="auto"/>
          <w:spacing w:val="10"/>
          <w:sz w:val="24"/>
          <w:highlight w:val="none"/>
          <w:lang w:val="en-US" w:eastAsia="zh-CN"/>
        </w:rPr>
        <w:t>乙方应切实做好农民工实名制管理及实名发放工人工资进卡工作，请款时需提供工人工资分配表，且全员全额代扣代缴个人所得税。若当期金额不足以支付农民工工资时，乙方需自行垫付资金，以保障农民工工资及时足额发放。</w:t>
      </w:r>
    </w:p>
    <w:p w14:paraId="25521030">
      <w:pPr>
        <w:keepNext w:val="0"/>
        <w:keepLines w:val="0"/>
        <w:pageBreakBefore w:val="0"/>
        <w:widowControl/>
        <w:kinsoku/>
        <w:overflowPunct/>
        <w:topLinePunct w:val="0"/>
        <w:autoSpaceDE/>
        <w:autoSpaceDN/>
        <w:bidi w:val="0"/>
        <w:adjustRightInd/>
        <w:spacing w:line="240" w:lineRule="auto"/>
        <w:ind w:left="0" w:firstLine="0" w:firstLineChars="0"/>
        <w:jc w:val="left"/>
        <w:textAlignment w:val="auto"/>
        <w:outlineLvl w:val="9"/>
        <w:rPr>
          <w:rFonts w:hint="default" w:ascii="宋体" w:hAnsi="宋体"/>
          <w:b/>
          <w:color w:val="auto"/>
          <w:spacing w:val="10"/>
          <w:sz w:val="24"/>
          <w:highlight w:val="none"/>
          <w:lang w:val="en-US" w:eastAsia="zh-CN"/>
        </w:rPr>
      </w:pPr>
      <w:r>
        <w:rPr>
          <w:rFonts w:hint="default" w:ascii="宋体" w:hAnsi="宋体"/>
          <w:b/>
          <w:color w:val="auto"/>
          <w:spacing w:val="10"/>
          <w:sz w:val="24"/>
          <w:highlight w:val="none"/>
          <w:lang w:val="en-US" w:eastAsia="zh-CN"/>
        </w:rPr>
        <w:br w:type="page"/>
      </w:r>
    </w:p>
    <w:p w14:paraId="63A28B02">
      <w:pPr>
        <w:keepNext w:val="0"/>
        <w:keepLines w:val="0"/>
        <w:pageBreakBefore w:val="0"/>
        <w:widowControl w:val="0"/>
        <w:kinsoku/>
        <w:overflowPunct/>
        <w:topLinePunct w:val="0"/>
        <w:autoSpaceDE/>
        <w:autoSpaceDN/>
        <w:bidi w:val="0"/>
        <w:adjustRightInd/>
        <w:spacing w:line="408" w:lineRule="auto"/>
        <w:ind w:left="0" w:firstLine="0" w:firstLineChars="0"/>
        <w:jc w:val="left"/>
        <w:textAlignment w:val="auto"/>
        <w:outlineLvl w:val="9"/>
        <w:rPr>
          <w:rFonts w:hint="default" w:ascii="宋体" w:hAnsi="宋体"/>
          <w:b/>
          <w:color w:val="auto"/>
          <w:spacing w:val="10"/>
          <w:sz w:val="24"/>
          <w:highlight w:val="none"/>
          <w:lang w:val="en-US" w:eastAsia="zh-CN"/>
        </w:rPr>
      </w:pPr>
      <w:r>
        <w:rPr>
          <w:rFonts w:hint="default" w:ascii="宋体" w:hAnsi="宋体"/>
          <w:b/>
          <w:color w:val="auto"/>
          <w:spacing w:val="10"/>
          <w:sz w:val="24"/>
          <w:highlight w:val="none"/>
          <w:lang w:val="en-US" w:eastAsia="zh-CN"/>
        </w:rPr>
        <w:t>第</w:t>
      </w:r>
      <w:r>
        <w:rPr>
          <w:rFonts w:hint="eastAsia" w:ascii="宋体" w:hAnsi="宋体"/>
          <w:b/>
          <w:color w:val="auto"/>
          <w:spacing w:val="10"/>
          <w:sz w:val="24"/>
          <w:highlight w:val="none"/>
          <w:lang w:val="en-US" w:eastAsia="zh-CN"/>
        </w:rPr>
        <w:t>十</w:t>
      </w:r>
      <w:r>
        <w:rPr>
          <w:rFonts w:hint="default" w:ascii="宋体" w:hAnsi="宋体"/>
          <w:b/>
          <w:color w:val="auto"/>
          <w:spacing w:val="10"/>
          <w:sz w:val="24"/>
          <w:highlight w:val="none"/>
          <w:lang w:val="en-US" w:eastAsia="zh-CN"/>
        </w:rPr>
        <w:t>条 履约保证金及安全保证金</w:t>
      </w:r>
    </w:p>
    <w:p w14:paraId="439B533F">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eastAsia="宋体"/>
          <w:color w:val="auto"/>
          <w:spacing w:val="10"/>
          <w:sz w:val="24"/>
          <w:highlight w:val="none"/>
          <w:lang w:val="en-US" w:eastAsia="zh-CN"/>
        </w:rPr>
      </w:pPr>
      <w:r>
        <w:rPr>
          <w:rFonts w:hint="eastAsia" w:ascii="宋体" w:hAnsi="宋体"/>
          <w:color w:val="auto"/>
          <w:spacing w:val="10"/>
          <w:sz w:val="24"/>
          <w:highlight w:val="none"/>
          <w:lang w:val="en-US" w:eastAsia="zh-CN"/>
        </w:rPr>
        <w:t>10</w:t>
      </w:r>
      <w:r>
        <w:rPr>
          <w:rFonts w:hint="eastAsia" w:ascii="宋体" w:hAnsi="宋体" w:eastAsia="宋体"/>
          <w:color w:val="auto"/>
          <w:spacing w:val="10"/>
          <w:sz w:val="24"/>
          <w:highlight w:val="none"/>
          <w:lang w:val="en-US" w:eastAsia="zh-CN"/>
        </w:rPr>
        <w:t>.1</w:t>
      </w:r>
      <w:r>
        <w:rPr>
          <w:rFonts w:hint="eastAsia" w:ascii="宋体" w:hAnsi="宋体"/>
          <w:color w:val="auto"/>
          <w:spacing w:val="10"/>
          <w:sz w:val="24"/>
          <w:highlight w:val="none"/>
          <w:lang w:val="en-US" w:eastAsia="zh-CN"/>
        </w:rPr>
        <w:t xml:space="preserve"> </w:t>
      </w:r>
      <w:r>
        <w:rPr>
          <w:rFonts w:hint="eastAsia" w:ascii="宋体" w:hAnsi="宋体" w:eastAsia="宋体"/>
          <w:color w:val="auto"/>
          <w:spacing w:val="10"/>
          <w:sz w:val="24"/>
          <w:highlight w:val="none"/>
          <w:lang w:val="en-US" w:eastAsia="zh-CN"/>
        </w:rPr>
        <w:t>乙方应按合同价格的1.5%计向甲方缴纳履约保证金、2.5%计向甲方缴纳安全保证金。</w:t>
      </w:r>
    </w:p>
    <w:p w14:paraId="5A9E78B8">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eastAsia="宋体"/>
          <w:color w:val="auto"/>
          <w:spacing w:val="10"/>
          <w:sz w:val="24"/>
          <w:highlight w:val="none"/>
          <w:lang w:val="en-US" w:eastAsia="zh-CN"/>
        </w:rPr>
      </w:pPr>
      <w:r>
        <w:rPr>
          <w:rFonts w:hint="eastAsia" w:ascii="宋体" w:hAnsi="宋体"/>
          <w:color w:val="auto"/>
          <w:spacing w:val="10"/>
          <w:sz w:val="24"/>
          <w:highlight w:val="none"/>
          <w:lang w:val="en-US" w:eastAsia="zh-CN"/>
        </w:rPr>
        <w:t>10</w:t>
      </w:r>
      <w:r>
        <w:rPr>
          <w:rFonts w:hint="eastAsia" w:ascii="宋体" w:hAnsi="宋体" w:eastAsia="宋体"/>
          <w:color w:val="auto"/>
          <w:spacing w:val="10"/>
          <w:sz w:val="24"/>
          <w:highlight w:val="none"/>
          <w:lang w:val="en-US" w:eastAsia="zh-CN"/>
        </w:rPr>
        <w:t>.2</w:t>
      </w:r>
      <w:r>
        <w:rPr>
          <w:rFonts w:hint="eastAsia" w:ascii="宋体" w:hAnsi="宋体"/>
          <w:color w:val="auto"/>
          <w:spacing w:val="10"/>
          <w:sz w:val="24"/>
          <w:highlight w:val="none"/>
          <w:lang w:val="en-US" w:eastAsia="zh-CN"/>
        </w:rPr>
        <w:t xml:space="preserve"> </w:t>
      </w:r>
      <w:r>
        <w:rPr>
          <w:rFonts w:hint="eastAsia" w:ascii="宋体" w:hAnsi="宋体" w:eastAsia="宋体"/>
          <w:color w:val="auto"/>
          <w:spacing w:val="10"/>
          <w:sz w:val="24"/>
          <w:highlight w:val="none"/>
          <w:lang w:val="en-US" w:eastAsia="zh-CN"/>
        </w:rPr>
        <w:t>履约保证金及安全保证金须待工程交工验收后双方办理结算时，视乙方工程质量/安全、工期等方面的履约情况，根据本合同与甲方的有关规定罚扣，若有剩余保证金根据合同第12条约定的结算款支付方式支付。</w:t>
      </w:r>
    </w:p>
    <w:p w14:paraId="127E0082">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eastAsia="宋体"/>
          <w:color w:val="auto"/>
          <w:spacing w:val="10"/>
          <w:sz w:val="24"/>
          <w:highlight w:val="none"/>
          <w:lang w:val="en-US" w:eastAsia="zh-CN"/>
        </w:rPr>
      </w:pPr>
      <w:r>
        <w:rPr>
          <w:rFonts w:hint="eastAsia" w:ascii="宋体" w:hAnsi="宋体"/>
          <w:color w:val="auto"/>
          <w:spacing w:val="10"/>
          <w:sz w:val="24"/>
          <w:highlight w:val="none"/>
          <w:lang w:val="en-US" w:eastAsia="zh-CN"/>
        </w:rPr>
        <w:t>10</w:t>
      </w:r>
      <w:r>
        <w:rPr>
          <w:rFonts w:hint="eastAsia" w:ascii="宋体" w:hAnsi="宋体" w:eastAsia="宋体"/>
          <w:color w:val="auto"/>
          <w:spacing w:val="10"/>
          <w:sz w:val="24"/>
          <w:highlight w:val="none"/>
          <w:lang w:val="en-US" w:eastAsia="zh-CN"/>
        </w:rPr>
        <w:t>.3</w:t>
      </w:r>
      <w:r>
        <w:rPr>
          <w:rFonts w:hint="eastAsia" w:ascii="宋体" w:hAnsi="宋体"/>
          <w:color w:val="auto"/>
          <w:spacing w:val="10"/>
          <w:sz w:val="24"/>
          <w:highlight w:val="none"/>
          <w:lang w:val="en-US" w:eastAsia="zh-CN"/>
        </w:rPr>
        <w:t xml:space="preserve"> </w:t>
      </w:r>
      <w:r>
        <w:rPr>
          <w:rFonts w:hint="eastAsia" w:ascii="宋体" w:hAnsi="宋体" w:eastAsia="宋体"/>
          <w:color w:val="auto"/>
          <w:spacing w:val="10"/>
          <w:sz w:val="24"/>
          <w:highlight w:val="none"/>
          <w:lang w:val="en-US" w:eastAsia="zh-CN"/>
        </w:rPr>
        <w:t>乙方的履约保证金及安全保证金按下列办法选择缴交：从分包工程项目进度款中按分期抵扣（进度款预留金额中已含应扣的4%的履约保证金和安全保证金</w:t>
      </w:r>
      <w:r>
        <w:rPr>
          <w:rFonts w:hint="eastAsia" w:ascii="宋体" w:hAnsi="宋体"/>
          <w:color w:val="auto"/>
          <w:spacing w:val="10"/>
          <w:sz w:val="24"/>
          <w:highlight w:val="none"/>
          <w:lang w:val="en-US" w:eastAsia="zh-CN"/>
        </w:rPr>
        <w:t>）</w:t>
      </w:r>
      <w:r>
        <w:rPr>
          <w:rFonts w:hint="eastAsia" w:ascii="宋体" w:hAnsi="宋体" w:eastAsia="宋体"/>
          <w:color w:val="auto"/>
          <w:spacing w:val="10"/>
          <w:sz w:val="24"/>
          <w:highlight w:val="none"/>
          <w:lang w:val="en-US" w:eastAsia="zh-CN"/>
        </w:rPr>
        <w:t>。</w:t>
      </w:r>
    </w:p>
    <w:p w14:paraId="04CE9B9B">
      <w:pPr>
        <w:keepNext w:val="0"/>
        <w:keepLines w:val="0"/>
        <w:pageBreakBefore w:val="0"/>
        <w:widowControl w:val="0"/>
        <w:kinsoku/>
        <w:overflowPunct/>
        <w:topLinePunct w:val="0"/>
        <w:autoSpaceDE/>
        <w:autoSpaceDN/>
        <w:bidi w:val="0"/>
        <w:adjustRightInd/>
        <w:spacing w:line="408" w:lineRule="auto"/>
        <w:ind w:left="0" w:firstLine="0" w:firstLineChars="0"/>
        <w:jc w:val="left"/>
        <w:textAlignment w:val="auto"/>
        <w:outlineLvl w:val="9"/>
        <w:rPr>
          <w:rFonts w:hint="eastAsia" w:ascii="宋体" w:hAnsi="宋体"/>
          <w:b/>
          <w:color w:val="auto"/>
          <w:spacing w:val="10"/>
          <w:sz w:val="24"/>
          <w:highlight w:val="none"/>
          <w:lang w:val="en-US" w:eastAsia="zh-CN"/>
        </w:rPr>
      </w:pPr>
      <w:r>
        <w:rPr>
          <w:rFonts w:hint="eastAsia" w:ascii="宋体" w:hAnsi="宋体"/>
          <w:b/>
          <w:color w:val="auto"/>
          <w:spacing w:val="10"/>
          <w:sz w:val="24"/>
          <w:highlight w:val="none"/>
          <w:lang w:val="en-US" w:eastAsia="zh-CN"/>
        </w:rPr>
        <w:t>第十一条</w:t>
      </w:r>
      <w:r>
        <w:rPr>
          <w:rFonts w:hint="default" w:ascii="宋体" w:hAnsi="宋体"/>
          <w:b/>
          <w:color w:val="auto"/>
          <w:spacing w:val="10"/>
          <w:sz w:val="24"/>
          <w:highlight w:val="none"/>
          <w:lang w:val="en-US" w:eastAsia="zh-CN"/>
        </w:rPr>
        <w:t xml:space="preserve">  </w:t>
      </w:r>
      <w:r>
        <w:rPr>
          <w:rFonts w:hint="eastAsia" w:ascii="宋体" w:hAnsi="宋体"/>
          <w:b/>
          <w:color w:val="auto"/>
          <w:spacing w:val="10"/>
          <w:sz w:val="24"/>
          <w:highlight w:val="none"/>
          <w:lang w:val="en-US" w:eastAsia="zh-CN"/>
        </w:rPr>
        <w:t>安全施工</w:t>
      </w:r>
    </w:p>
    <w:p w14:paraId="67839F1B">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按甲方规定，签订安全生产补充合同。</w:t>
      </w:r>
    </w:p>
    <w:p w14:paraId="6476CACA">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11.1 分包应签订安全、环保、消防协议书和责任书，明确各自的责任和义务，并按照目标指标要求进行管理。</w:t>
      </w:r>
    </w:p>
    <w:p w14:paraId="277169A3">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11.2 乙方应贯彻执行工程安全施工有关的法规和标准要求，严格遵守安全操作规程。</w:t>
      </w:r>
    </w:p>
    <w:p w14:paraId="52581F23">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11.3 乙方应服从甲方的安全管理，遵守甲方的安全管理制度，接受甲方的安全检查，并及时采取有效措施，处理检查出的安全隐患。</w:t>
      </w:r>
    </w:p>
    <w:p w14:paraId="76F1ABB0">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11.4 分包工程施工中应按有关规定编制安全保证计划和专项安全施工技术措施，并报甲方批准后实施。</w:t>
      </w:r>
    </w:p>
    <w:p w14:paraId="0DDC1354">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11.5 发生人身伤亡事故和其它事故，乙方应按有关规定要求上报甲方和其它有关部门，并按规定配合处理事故，发生的费用由责任方承担。</w:t>
      </w:r>
    </w:p>
    <w:p w14:paraId="4E960118">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11.6 乙方应当至少配置1名（各专业）安全生产管理人员，并根据所承担的分部分项工程的工程量和施工危险程度增加。</w:t>
      </w:r>
    </w:p>
    <w:p w14:paraId="25C18BB3">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11.7 合同价款中包括了安全施工管理、安全措施、现场文明施工等费用。</w:t>
      </w:r>
    </w:p>
    <w:p w14:paraId="2734BD74">
      <w:pPr>
        <w:keepNext w:val="0"/>
        <w:keepLines w:val="0"/>
        <w:pageBreakBefore w:val="0"/>
        <w:widowControl w:val="0"/>
        <w:kinsoku/>
        <w:overflowPunct/>
        <w:topLinePunct w:val="0"/>
        <w:autoSpaceDE/>
        <w:autoSpaceDN/>
        <w:bidi w:val="0"/>
        <w:adjustRightInd/>
        <w:spacing w:line="408" w:lineRule="auto"/>
        <w:ind w:left="0" w:firstLine="0" w:firstLineChars="0"/>
        <w:jc w:val="left"/>
        <w:textAlignment w:val="auto"/>
        <w:outlineLvl w:val="9"/>
        <w:rPr>
          <w:rFonts w:hint="eastAsia" w:ascii="宋体" w:hAnsi="宋体"/>
          <w:b/>
          <w:color w:val="auto"/>
          <w:spacing w:val="10"/>
          <w:sz w:val="24"/>
          <w:highlight w:val="none"/>
          <w:lang w:val="en-US" w:eastAsia="zh-CN"/>
        </w:rPr>
      </w:pPr>
      <w:r>
        <w:rPr>
          <w:rFonts w:hint="eastAsia" w:ascii="宋体" w:hAnsi="宋体"/>
          <w:b/>
          <w:color w:val="auto"/>
          <w:spacing w:val="10"/>
          <w:sz w:val="24"/>
          <w:highlight w:val="none"/>
          <w:lang w:val="en-US" w:eastAsia="zh-CN"/>
        </w:rPr>
        <w:t>第十二条  材料机具管理</w:t>
      </w:r>
    </w:p>
    <w:p w14:paraId="00B64241">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12.1 乙方必须配备专门的材料员，材料员必须在项目部各部门备案；材料员姓名：       ；身份证号：                   。 若施工过程中需要更换，要及时书面通知甲方材料科。</w:t>
      </w:r>
    </w:p>
    <w:p w14:paraId="26EEAC46">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12.1 乙方向甲方提供所使用机械设备生产制造许可证、产品合格证等相关资料，以及司机操作证，特种设备还应提供特种设备作业证和地方技术监督局注册的安全合格证，无操作证、特种设备作业证及安全合格证的，严禁从事相关工作，若进场机械设备无合格证等相关证件，乙方须自行清理出场并承担由此造成的全部损失。所有施工机具设备和高空作业的设备均应定期检查，并有签字记录，保证其经常处于完好状态；不合格的机具、设备和劳动保护用品严禁使用；临时用电箱应配有漏电保护装置且符合国家有关要求并满足现场用电需要。所有机具设备需经甲方项目部检查认可后方可投入使用，但甲方项目部的安全检查不代表乙方具有免责权利，乙方仍需对因乙方原因所引发安全事故承担所有的安全、法律及经济责任。</w:t>
      </w:r>
    </w:p>
    <w:p w14:paraId="2EA5F1F5">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12.2 材料供应：①主材由业主提供；其余辅材及耗材全部由乙方自行提供。②机械、辅材及耗材由乙方提供。</w:t>
      </w:r>
    </w:p>
    <w:p w14:paraId="40EE65C3">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12.3 乙方若有使用甲方提供材料，本工程甲方提供的材料在办理领料之后概由乙方负责妥善保管之责，不得遗失或毁损，否则当依实际价格及损失负赔偿之责。</w:t>
      </w:r>
    </w:p>
    <w:p w14:paraId="4C5876AF">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12.4 加工后的废料、乙方领料数量超过实际用量（除约定的损耗及设计变更引起多领以外）的，一律退回业主。</w:t>
      </w:r>
    </w:p>
    <w:p w14:paraId="353A1326">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12.5 已经领料出库后的施工材料，检验如有不合格产品需书面对甲方提出，如可认定的责任，则对乙方免责，如为不可认定责任，则默认为乙方损坏，一切赔偿费用及甲方损失由乙方承担。</w:t>
      </w:r>
    </w:p>
    <w:p w14:paraId="5E2AE9BE">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12.6 甲供材料：阀门、管件、法兰、垫片等计件材料无损耗（其中返修、试压、吹扫、试车拆除的垫片不计为损耗），其他材料按定额规定损耗系数的70%执行，超出部分由乙方自行承担，其中加工后的废料、乙方领料数量超过实际用量（除约定的损耗及设计变更引起多领以外）的，一律退回甲方。</w:t>
      </w:r>
    </w:p>
    <w:p w14:paraId="019692BE">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default" w:ascii="宋体" w:hAnsi="宋体" w:eastAsia="宋体" w:cs="Times New Roman"/>
          <w:color w:val="auto"/>
          <w:spacing w:val="10"/>
          <w:sz w:val="24"/>
          <w:highlight w:val="none"/>
          <w:lang w:val="en-US" w:eastAsia="zh-CN"/>
        </w:rPr>
      </w:pPr>
      <w:r>
        <w:rPr>
          <w:rFonts w:hint="eastAsia" w:ascii="宋体" w:hAnsi="宋体"/>
          <w:color w:val="auto"/>
          <w:spacing w:val="10"/>
          <w:sz w:val="24"/>
          <w:highlight w:val="none"/>
          <w:lang w:val="en-US" w:eastAsia="zh-CN"/>
        </w:rPr>
        <w:t>12.7 甲方供应的材料、设备的结算方法:甲方供应的材料、设备(“甲供材料、设备”)采用领料制。甲供材料、设备及半成品等由乙方到甲方岛内指定的地点领取，甲供材料应严格按合同号领用，领用数量需经监理与甲方审核、批准领用材料计划需提前30天提交甲方投资仓管处。乙方保管后的数量差异由乙方负责。乙方领料后，若发生损坏、缺失等，乙方应无条件按甲方采购价的1.5倍赔偿，且由此被延误的工期不顺延。乙方保证不将甲方供应材料设备挪作他用，否则，甲方有权对乙方采取经济处罚。如在结算时经甲方确认实际应使用数量与乙方领用的甲供数量差异在20%以内(含20%)，则在结算时按照甲供材料甲方采购价格及差异数量在乙方结算款中进行扣除；如在结算时甲方确认实际应使用数量与乙方领用的甲供数量差异超过20%，且无法提供合理证据证明该项材料损耗超常的，则甲方视为乙方挪作他用，则差异超过20%之外的部分按照甲方采购价的1.5倍及差异数量在乙方结算款中进行扣除。注：（若无甲方采购价格，则按信息价，信息价平均值取定可参照副刊信息价打7折执行）”。</w:t>
      </w:r>
    </w:p>
    <w:p w14:paraId="3468A0E4">
      <w:pPr>
        <w:keepNext w:val="0"/>
        <w:keepLines w:val="0"/>
        <w:pageBreakBefore w:val="0"/>
        <w:widowControl w:val="0"/>
        <w:kinsoku/>
        <w:overflowPunct/>
        <w:topLinePunct w:val="0"/>
        <w:autoSpaceDE/>
        <w:autoSpaceDN/>
        <w:bidi w:val="0"/>
        <w:adjustRightInd/>
        <w:spacing w:line="408" w:lineRule="auto"/>
        <w:ind w:left="0" w:firstLine="0" w:firstLineChars="0"/>
        <w:jc w:val="left"/>
        <w:textAlignment w:val="auto"/>
        <w:outlineLvl w:val="9"/>
        <w:rPr>
          <w:rFonts w:hint="eastAsia" w:ascii="宋体" w:hAnsi="宋体"/>
          <w:b/>
          <w:color w:val="auto"/>
          <w:spacing w:val="10"/>
          <w:sz w:val="24"/>
          <w:highlight w:val="none"/>
          <w:lang w:val="en-US" w:eastAsia="zh-CN"/>
        </w:rPr>
      </w:pPr>
      <w:r>
        <w:rPr>
          <w:rFonts w:hint="eastAsia" w:ascii="宋体" w:hAnsi="宋体"/>
          <w:b/>
          <w:color w:val="auto"/>
          <w:spacing w:val="10"/>
          <w:sz w:val="24"/>
          <w:highlight w:val="none"/>
          <w:lang w:val="en-US" w:eastAsia="zh-CN"/>
        </w:rPr>
        <w:t>第十三条  施工要求</w:t>
      </w:r>
    </w:p>
    <w:p w14:paraId="45391E26">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13.1 乙方必须配备专门的施工员（或带班人员）并在项目部备案，施工员姓名：       ;身份证号：                    。若乙方要变更专职施工员，须经甲方同意才能更换；甲方有权要求乙方更换不合格的专职施工员。</w:t>
      </w:r>
    </w:p>
    <w:p w14:paraId="6965CD68">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13.2 施工员应具备执行甲方安排的进度计划、施工质量、安排现场作业的能力，并能积极的配合和协调各专业、各作业队伍等的工作。</w:t>
      </w:r>
    </w:p>
    <w:p w14:paraId="1BC9A746">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13.3 施工质量应按现行的国家或行业施工验收规范和质量评定标准施工，应符合国家或行业的质量检验评定标准一次性验收合格。</w:t>
      </w:r>
    </w:p>
    <w:p w14:paraId="10310787">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13.4 施工过程质量控制，乙方应严格执行质量控制程序；进行自检、交接检、工序报验等。</w:t>
      </w:r>
    </w:p>
    <w:p w14:paraId="08A22531">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13.5 已完工程质量按甲方提供的图纸验收标准、规范进行验收，若经业主、监理、甲方验收不合格，由乙方负责整改，整改费用全部由乙方承担。</w:t>
      </w:r>
    </w:p>
    <w:p w14:paraId="10F6D4CE">
      <w:pPr>
        <w:keepNext w:val="0"/>
        <w:keepLines w:val="0"/>
        <w:pageBreakBefore w:val="0"/>
        <w:widowControl w:val="0"/>
        <w:kinsoku/>
        <w:overflowPunct/>
        <w:topLinePunct w:val="0"/>
        <w:autoSpaceDE/>
        <w:autoSpaceDN/>
        <w:bidi w:val="0"/>
        <w:adjustRightInd/>
        <w:spacing w:line="408" w:lineRule="auto"/>
        <w:ind w:left="0" w:firstLine="0" w:firstLineChars="0"/>
        <w:jc w:val="left"/>
        <w:textAlignment w:val="auto"/>
        <w:outlineLvl w:val="9"/>
        <w:rPr>
          <w:rFonts w:hint="eastAsia" w:ascii="宋体" w:hAnsi="宋体"/>
          <w:b/>
          <w:color w:val="auto"/>
          <w:spacing w:val="10"/>
          <w:sz w:val="24"/>
          <w:highlight w:val="none"/>
          <w:lang w:val="en-US" w:eastAsia="zh-CN"/>
        </w:rPr>
      </w:pPr>
      <w:r>
        <w:rPr>
          <w:rFonts w:hint="eastAsia" w:ascii="宋体" w:hAnsi="宋体"/>
          <w:b/>
          <w:color w:val="auto"/>
          <w:spacing w:val="10"/>
          <w:sz w:val="24"/>
          <w:highlight w:val="none"/>
          <w:lang w:val="en-US" w:eastAsia="zh-CN"/>
        </w:rPr>
        <w:t>第十四条  分包款项拨付与结算</w:t>
      </w:r>
    </w:p>
    <w:p w14:paraId="7CA4D010">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14.1 该项目无预付款。</w:t>
      </w:r>
      <w:permStart w:id="48" w:edGrp="everyone"/>
      <w:r>
        <w:rPr>
          <w:rFonts w:hint="eastAsia" w:ascii="宋体" w:hAnsi="宋体"/>
          <w:color w:val="auto"/>
          <w:spacing w:val="10"/>
          <w:sz w:val="24"/>
          <w:highlight w:val="none"/>
          <w:lang w:val="en-US" w:eastAsia="zh-CN"/>
        </w:rPr>
        <w:t>工程款按检修完成后，一周内工程进度款支付至50%，工程进度审核完成后乙方按已完工程量85%申请进度款（预留的15%中包含1.5%履约保证金、2.5%安全保证金）；检修结束验收合格后办理结算，支付结算尾款。本合同所有资料齐全（符合甲方要求）并提交竣工结算报告，</w:t>
      </w:r>
      <w:permEnd w:id="48"/>
      <w:r>
        <w:rPr>
          <w:rFonts w:hint="eastAsia" w:ascii="宋体" w:hAnsi="宋体"/>
          <w:color w:val="auto"/>
          <w:spacing w:val="10"/>
          <w:sz w:val="24"/>
          <w:highlight w:val="none"/>
          <w:lang w:val="en-US" w:eastAsia="zh-CN"/>
        </w:rPr>
        <w:t>甲乙双方根据乙方实际完成的工程量和本合同规定的计价方式进行结算（履约保证金和安全保证金的扣罚按合同第九条执行，如有扣罚款在结算中扣减）后，按甲方确定的结算价的95%支付（该款项含应退还的履约保证金和安全保证金），剩余5%作为工程质保金，本工程缺陷保修期24个月，缺陷保修期满后14天内返还（不计息）。</w:t>
      </w:r>
    </w:p>
    <w:p w14:paraId="28406F70">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乙方应提供详细计算式、数据库、图纸、现场影像资料（隐蔽工程量应有原始测量过程的数据影像）、由甲方现场两人以上确认并经甲方单位项目经理签认，最终工程量以甲方单位总部进行有效性审核审计确认并扣除相关必要费用后为最终合同价款，结算后需开具增值税专票，（如遇国家税率调整，适用新税率），税金及附加和其他税金由乙方自行承担。</w:t>
      </w:r>
    </w:p>
    <w:p w14:paraId="4B41A1FA">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14.2 若乙方违约或未完成甲方布置的与本工程有关的工作，甲方可随时停止拨付工程款。</w:t>
      </w:r>
    </w:p>
    <w:p w14:paraId="3F54FE5F">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14.3 每次进度款支付时乙方需提供作业人员清单、考勤记录及当月工资表（每个作业人员每月工资不得低于当地最低工资标准）和上月人员工资已支付的确认单或银行转账流水。</w:t>
      </w:r>
    </w:p>
    <w:p w14:paraId="538EA98D">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14.4 乙方人员办理月份工程款拨付或结算时必须有乙方代表委托书，并向甲方提供参建人员工资费用清单（应有本人签字并加盖手印及相关劳动协议）。</w:t>
      </w:r>
    </w:p>
    <w:p w14:paraId="24791541">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14.5 本合同采用银行转账或供应链金融工具方式支付。如甲方采用供应链金融工具方式支付，由甲方承担相应贴息费用，但乙方需积极配合办理接收供应链金融工具支付方式的银行开户等方面工作，以便收取款项，由于乙方原因导致甲方付款延迟，甲方不承担责任。</w:t>
      </w:r>
    </w:p>
    <w:p w14:paraId="0820E33B">
      <w:pPr>
        <w:keepNext w:val="0"/>
        <w:keepLines w:val="0"/>
        <w:pageBreakBefore w:val="0"/>
        <w:widowControl w:val="0"/>
        <w:kinsoku/>
        <w:overflowPunct/>
        <w:topLinePunct w:val="0"/>
        <w:autoSpaceDE/>
        <w:autoSpaceDN/>
        <w:bidi w:val="0"/>
        <w:adjustRightInd/>
        <w:spacing w:line="408" w:lineRule="auto"/>
        <w:ind w:left="0" w:firstLine="0" w:firstLineChars="0"/>
        <w:jc w:val="left"/>
        <w:textAlignment w:val="auto"/>
        <w:outlineLvl w:val="9"/>
        <w:rPr>
          <w:rFonts w:hint="eastAsia" w:ascii="宋体" w:hAnsi="宋体"/>
          <w:b/>
          <w:color w:val="auto"/>
          <w:spacing w:val="10"/>
          <w:sz w:val="24"/>
          <w:highlight w:val="none"/>
          <w:lang w:val="en-US" w:eastAsia="zh-CN"/>
        </w:rPr>
      </w:pPr>
      <w:r>
        <w:rPr>
          <w:rFonts w:hint="eastAsia" w:ascii="宋体" w:hAnsi="宋体"/>
          <w:b/>
          <w:color w:val="auto"/>
          <w:spacing w:val="10"/>
          <w:sz w:val="24"/>
          <w:highlight w:val="none"/>
          <w:lang w:val="en-US" w:eastAsia="zh-CN"/>
        </w:rPr>
        <w:t>第十五条  合同终止与解除及违约责任</w:t>
      </w:r>
    </w:p>
    <w:p w14:paraId="5493F695">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15.1 在工程实施过程中若发现乙方施工质量、工程进度等不能达到施工组织设计要求、或足以证明乙方无能力履行合同、或乙方提供的企业资质和实力的资料与实际不符、或将工程转包或分包、或损坏甲方名誉等违约行为，或建设单位通知甲方终止合同时，甲方有权随时书面通知乙方解除合同，乙方应无条件执行，同时应按甲方要求妥善做好解除合同后的各项工作。</w:t>
      </w:r>
    </w:p>
    <w:p w14:paraId="2A9E5F04">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15.2 本合同一旦因乙方原因被解除，甲方将停止一切付款，同时，乙方应赔偿甲方因解除合同而发生的一切损失与各项费用。此外，如造成甲方信誉损失的，应按合同造价5%～10%赔偿信誉损失费。</w:t>
      </w:r>
    </w:p>
    <w:p w14:paraId="19C9DFAD">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eastAsia="宋体" w:cs="Times New Roman"/>
          <w:color w:val="auto"/>
          <w:spacing w:val="10"/>
          <w:sz w:val="24"/>
          <w:highlight w:val="none"/>
          <w:lang w:val="en-US" w:eastAsia="zh-CN"/>
        </w:rPr>
      </w:pPr>
      <w:r>
        <w:rPr>
          <w:rFonts w:hint="eastAsia" w:ascii="宋体" w:hAnsi="宋体" w:eastAsia="宋体" w:cs="Times New Roman"/>
          <w:color w:val="auto"/>
          <w:spacing w:val="10"/>
          <w:sz w:val="24"/>
          <w:highlight w:val="none"/>
          <w:lang w:val="en-US" w:eastAsia="zh-CN"/>
        </w:rPr>
        <w:t>15.3</w:t>
      </w:r>
      <w:r>
        <w:rPr>
          <w:rFonts w:hint="eastAsia" w:ascii="宋体" w:hAnsi="宋体"/>
          <w:color w:val="auto"/>
          <w:spacing w:val="10"/>
          <w:sz w:val="24"/>
          <w:highlight w:val="none"/>
          <w:lang w:val="en-US" w:eastAsia="zh-CN"/>
        </w:rPr>
        <w:t xml:space="preserve"> </w:t>
      </w:r>
      <w:r>
        <w:rPr>
          <w:rFonts w:hint="eastAsia" w:ascii="宋体" w:hAnsi="宋体" w:eastAsia="宋体" w:cs="Times New Roman"/>
          <w:color w:val="auto"/>
          <w:spacing w:val="10"/>
          <w:sz w:val="24"/>
          <w:highlight w:val="none"/>
          <w:lang w:val="en-US" w:eastAsia="zh-CN"/>
        </w:rPr>
        <w:t>乙方施工质量达不到本协议约定的质量标准，乙方应按本协议单项造价的20%向甲方支付违约金，如果业主追究的质量责任属乙方原因造成，乙方承担相应责任和赔偿由此给甲方造成的损失。</w:t>
      </w:r>
    </w:p>
    <w:p w14:paraId="5A26A158">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eastAsia="宋体" w:cs="Times New Roman"/>
          <w:color w:val="auto"/>
          <w:spacing w:val="10"/>
          <w:sz w:val="24"/>
          <w:highlight w:val="none"/>
          <w:lang w:val="en-US" w:eastAsia="zh-CN"/>
        </w:rPr>
      </w:pPr>
      <w:r>
        <w:rPr>
          <w:rFonts w:hint="eastAsia" w:ascii="宋体" w:hAnsi="宋体" w:eastAsia="宋体" w:cs="Times New Roman"/>
          <w:color w:val="auto"/>
          <w:spacing w:val="10"/>
          <w:sz w:val="24"/>
          <w:highlight w:val="none"/>
          <w:lang w:val="en-US" w:eastAsia="zh-CN"/>
        </w:rPr>
        <w:t>15.4</w:t>
      </w:r>
      <w:r>
        <w:rPr>
          <w:rFonts w:hint="eastAsia" w:ascii="宋体" w:hAnsi="宋体"/>
          <w:color w:val="auto"/>
          <w:spacing w:val="10"/>
          <w:sz w:val="24"/>
          <w:highlight w:val="none"/>
          <w:lang w:val="en-US" w:eastAsia="zh-CN"/>
        </w:rPr>
        <w:t xml:space="preserve"> </w:t>
      </w:r>
      <w:r>
        <w:rPr>
          <w:rFonts w:hint="eastAsia" w:ascii="宋体" w:hAnsi="宋体" w:eastAsia="宋体" w:cs="Times New Roman"/>
          <w:color w:val="auto"/>
          <w:spacing w:val="10"/>
          <w:sz w:val="24"/>
          <w:highlight w:val="none"/>
          <w:lang w:val="en-US" w:eastAsia="zh-CN"/>
        </w:rPr>
        <w:t>乙方未按协议条款约定履行协议或乙方自行退场或是违反本协议的其他严重行为，视为乙方违约，甲方可以采取处罚或清退措施进行处置。</w:t>
      </w:r>
    </w:p>
    <w:p w14:paraId="65727C1F">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eastAsia="宋体" w:cs="Times New Roman"/>
          <w:color w:val="auto"/>
          <w:spacing w:val="10"/>
          <w:sz w:val="24"/>
          <w:highlight w:val="none"/>
          <w:lang w:val="en-US" w:eastAsia="zh-CN"/>
        </w:rPr>
      </w:pPr>
      <w:r>
        <w:rPr>
          <w:rFonts w:hint="eastAsia" w:ascii="宋体" w:hAnsi="宋体" w:eastAsia="宋体" w:cs="Times New Roman"/>
          <w:color w:val="auto"/>
          <w:spacing w:val="10"/>
          <w:sz w:val="24"/>
          <w:highlight w:val="none"/>
          <w:lang w:val="en-US" w:eastAsia="zh-CN"/>
        </w:rPr>
        <w:t>15.5</w:t>
      </w:r>
      <w:r>
        <w:rPr>
          <w:rFonts w:hint="eastAsia" w:ascii="宋体" w:hAnsi="宋体"/>
          <w:color w:val="auto"/>
          <w:spacing w:val="10"/>
          <w:sz w:val="24"/>
          <w:highlight w:val="none"/>
          <w:lang w:val="en-US" w:eastAsia="zh-CN"/>
        </w:rPr>
        <w:t xml:space="preserve"> </w:t>
      </w:r>
      <w:r>
        <w:rPr>
          <w:rFonts w:hint="eastAsia" w:ascii="宋体" w:hAnsi="宋体" w:eastAsia="宋体" w:cs="Times New Roman"/>
          <w:color w:val="auto"/>
          <w:spacing w:val="10"/>
          <w:sz w:val="24"/>
          <w:highlight w:val="none"/>
          <w:lang w:val="en-US" w:eastAsia="zh-CN"/>
        </w:rPr>
        <w:t>乙方施工进度滞后或履约不力，在甲方要求整改或发出书面指示后，仍无改观或无明显改观迹象时；甲方有权将乙方承包工程部分收回或直至全部收回，自行组织施工或交由第三方施工，由此产生的费用及给甲方造成的损失均由乙方承担。甲方为完成乙方遗留工程可以使用乙方在现场的施工设备，乙方不得要求甲方支付任何补偿费用，乙方并承担由此给甲方造成的损失。</w:t>
      </w:r>
    </w:p>
    <w:p w14:paraId="79FF2C1C">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eastAsia="宋体" w:cs="Times New Roman"/>
          <w:color w:val="auto"/>
          <w:spacing w:val="10"/>
          <w:sz w:val="24"/>
          <w:highlight w:val="none"/>
          <w:lang w:val="en-US" w:eastAsia="zh-CN"/>
        </w:rPr>
      </w:pPr>
      <w:r>
        <w:rPr>
          <w:rFonts w:hint="eastAsia" w:ascii="宋体" w:hAnsi="宋体" w:eastAsia="宋体" w:cs="Times New Roman"/>
          <w:color w:val="auto"/>
          <w:spacing w:val="10"/>
          <w:sz w:val="24"/>
          <w:highlight w:val="none"/>
          <w:lang w:val="en-US" w:eastAsia="zh-CN"/>
        </w:rPr>
        <w:t>15.6</w:t>
      </w:r>
      <w:r>
        <w:rPr>
          <w:rFonts w:hint="eastAsia" w:ascii="宋体" w:hAnsi="宋体"/>
          <w:color w:val="auto"/>
          <w:spacing w:val="10"/>
          <w:sz w:val="24"/>
          <w:highlight w:val="none"/>
          <w:lang w:val="en-US" w:eastAsia="zh-CN"/>
        </w:rPr>
        <w:t xml:space="preserve"> </w:t>
      </w:r>
      <w:r>
        <w:rPr>
          <w:rFonts w:hint="eastAsia" w:ascii="宋体" w:hAnsi="宋体" w:eastAsia="宋体" w:cs="Times New Roman"/>
          <w:color w:val="auto"/>
          <w:spacing w:val="10"/>
          <w:sz w:val="24"/>
          <w:highlight w:val="none"/>
          <w:lang w:val="en-US" w:eastAsia="zh-CN"/>
        </w:rPr>
        <w:t>甲方在清退乙方队伍时，按甲方审定的乙方完成合格工程量价的80%办理价款清算，其余20%作为违约处罚款扣留（其中2.5%为罚没履约保证金），收回剩余工程量，协议自动解除。</w:t>
      </w:r>
    </w:p>
    <w:p w14:paraId="38FB3B74">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eastAsia="宋体" w:cs="Times New Roman"/>
          <w:color w:val="auto"/>
          <w:spacing w:val="10"/>
          <w:sz w:val="24"/>
          <w:highlight w:val="none"/>
          <w:lang w:val="en-US" w:eastAsia="zh-CN"/>
        </w:rPr>
      </w:pPr>
      <w:r>
        <w:rPr>
          <w:rFonts w:hint="eastAsia" w:ascii="宋体" w:hAnsi="宋体" w:eastAsia="宋体" w:cs="Times New Roman"/>
          <w:color w:val="auto"/>
          <w:spacing w:val="10"/>
          <w:sz w:val="24"/>
          <w:highlight w:val="none"/>
          <w:lang w:val="en-US" w:eastAsia="zh-CN"/>
        </w:rPr>
        <w:t>15.7乙方不得将本分包工程转包或再肢解分包给他人。否则，乙方应按本合同含税总价的20%向甲方支付违约金，同时甲方有权解除本协议。</w:t>
      </w:r>
    </w:p>
    <w:p w14:paraId="513D7115">
      <w:pPr>
        <w:keepNext w:val="0"/>
        <w:keepLines w:val="0"/>
        <w:pageBreakBefore w:val="0"/>
        <w:widowControl w:val="0"/>
        <w:kinsoku/>
        <w:overflowPunct/>
        <w:topLinePunct w:val="0"/>
        <w:autoSpaceDE/>
        <w:autoSpaceDN/>
        <w:bidi w:val="0"/>
        <w:adjustRightInd/>
        <w:spacing w:line="408" w:lineRule="auto"/>
        <w:ind w:left="0" w:firstLine="0" w:firstLineChars="0"/>
        <w:jc w:val="left"/>
        <w:textAlignment w:val="auto"/>
        <w:outlineLvl w:val="9"/>
        <w:rPr>
          <w:rFonts w:hint="eastAsia" w:ascii="宋体" w:hAnsi="宋体" w:eastAsia="宋体" w:cs="Times New Roman"/>
          <w:b/>
          <w:color w:val="auto"/>
          <w:spacing w:val="10"/>
          <w:sz w:val="24"/>
          <w:highlight w:val="none"/>
          <w:lang w:val="en-US" w:eastAsia="zh-CN"/>
        </w:rPr>
      </w:pPr>
      <w:r>
        <w:rPr>
          <w:rFonts w:hint="eastAsia" w:ascii="宋体" w:hAnsi="宋体" w:eastAsia="宋体" w:cs="Times New Roman"/>
          <w:b/>
          <w:color w:val="auto"/>
          <w:spacing w:val="10"/>
          <w:sz w:val="24"/>
          <w:highlight w:val="none"/>
          <w:lang w:val="en-US" w:eastAsia="zh-CN"/>
        </w:rPr>
        <w:t>第十六条</w:t>
      </w:r>
      <w:r>
        <w:rPr>
          <w:rFonts w:hint="eastAsia" w:ascii="宋体" w:hAnsi="宋体"/>
          <w:b/>
          <w:color w:val="auto"/>
          <w:spacing w:val="10"/>
          <w:sz w:val="24"/>
          <w:highlight w:val="none"/>
          <w:lang w:val="en-US" w:eastAsia="zh-CN"/>
        </w:rPr>
        <w:t xml:space="preserve">  </w:t>
      </w:r>
      <w:r>
        <w:rPr>
          <w:rFonts w:hint="eastAsia" w:ascii="宋体" w:hAnsi="宋体" w:eastAsia="宋体" w:cs="Times New Roman"/>
          <w:b/>
          <w:color w:val="auto"/>
          <w:spacing w:val="10"/>
          <w:sz w:val="24"/>
          <w:highlight w:val="none"/>
          <w:lang w:val="en-US" w:eastAsia="zh-CN"/>
        </w:rPr>
        <w:t>项目变更</w:t>
      </w:r>
    </w:p>
    <w:p w14:paraId="1E506059">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eastAsia="宋体" w:cs="Times New Roman"/>
          <w:color w:val="auto"/>
          <w:spacing w:val="10"/>
          <w:sz w:val="24"/>
          <w:highlight w:val="none"/>
          <w:lang w:val="en-US" w:eastAsia="zh-CN"/>
        </w:rPr>
      </w:pPr>
      <w:r>
        <w:rPr>
          <w:rFonts w:hint="eastAsia" w:ascii="宋体" w:hAnsi="宋体" w:eastAsia="宋体" w:cs="Times New Roman"/>
          <w:color w:val="auto"/>
          <w:spacing w:val="10"/>
          <w:sz w:val="24"/>
          <w:highlight w:val="none"/>
          <w:lang w:val="en-US" w:eastAsia="zh-CN"/>
        </w:rPr>
        <w:t>16.1 施工过程中若遇图纸设计变更，乙方必须满足甲方的要求，及时按设计变更后的图纸施工或修改，并配合甲方与建设单位进行项目增减所发生的费用签证。乙方不配合甲方向业主签证所导致的经济损失由乙方承担，乙方不得向甲方索赔。</w:t>
      </w:r>
    </w:p>
    <w:p w14:paraId="11C2202B">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eastAsia="宋体" w:cs="Times New Roman"/>
          <w:color w:val="auto"/>
          <w:spacing w:val="10"/>
          <w:sz w:val="24"/>
          <w:highlight w:val="none"/>
          <w:lang w:val="en-US" w:eastAsia="zh-CN"/>
        </w:rPr>
      </w:pPr>
      <w:r>
        <w:rPr>
          <w:rFonts w:hint="eastAsia" w:ascii="宋体" w:hAnsi="宋体" w:eastAsia="宋体" w:cs="Times New Roman"/>
          <w:color w:val="auto"/>
          <w:spacing w:val="10"/>
          <w:sz w:val="24"/>
          <w:highlight w:val="none"/>
          <w:lang w:val="en-US" w:eastAsia="zh-CN"/>
        </w:rPr>
        <w:t>16.2 分包工程涉及变更、价格调整、工期顺延等事宜，最终以甲方获得监理人、总包合同甲方书面确认为准。</w:t>
      </w:r>
    </w:p>
    <w:p w14:paraId="3F162B63">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eastAsia="宋体" w:cs="Times New Roman"/>
          <w:color w:val="auto"/>
          <w:spacing w:val="10"/>
          <w:sz w:val="24"/>
          <w:highlight w:val="none"/>
          <w:lang w:val="en-US" w:eastAsia="zh-CN"/>
        </w:rPr>
      </w:pPr>
      <w:r>
        <w:rPr>
          <w:rFonts w:hint="eastAsia" w:ascii="宋体" w:hAnsi="宋体" w:eastAsia="宋体" w:cs="Times New Roman"/>
          <w:color w:val="auto"/>
          <w:spacing w:val="10"/>
          <w:sz w:val="24"/>
          <w:highlight w:val="none"/>
          <w:lang w:val="en-US" w:eastAsia="zh-CN"/>
        </w:rPr>
        <w:t>16.3 甲方支付乙方工程款的前提条件必须在甲方按总包合同约定收到该分包工程进度款后按本合同约定支付给乙方。</w:t>
      </w:r>
    </w:p>
    <w:p w14:paraId="1A0CDD32">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eastAsia="宋体" w:cs="Times New Roman"/>
          <w:color w:val="auto"/>
          <w:spacing w:val="10"/>
          <w:sz w:val="24"/>
          <w:highlight w:val="none"/>
          <w:lang w:val="en-US" w:eastAsia="zh-CN"/>
        </w:rPr>
      </w:pPr>
      <w:r>
        <w:rPr>
          <w:rFonts w:hint="eastAsia" w:ascii="宋体" w:hAnsi="宋体" w:eastAsia="宋体" w:cs="Times New Roman"/>
          <w:color w:val="auto"/>
          <w:spacing w:val="10"/>
          <w:sz w:val="24"/>
          <w:highlight w:val="none"/>
          <w:lang w:val="en-US" w:eastAsia="zh-CN"/>
        </w:rPr>
        <w:t>16.4 因分包工程（逾期完工或其他原因）导致甲方向总包合同发包方承担任何违约责任，甲方有权要求乙方赔偿损失。甲方有权从应支付分包工程款中直接扣留前述违约金或赔偿金。</w:t>
      </w:r>
    </w:p>
    <w:p w14:paraId="3B99E065">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eastAsia="宋体" w:cs="Times New Roman"/>
          <w:color w:val="auto"/>
          <w:spacing w:val="10"/>
          <w:sz w:val="24"/>
          <w:highlight w:val="none"/>
          <w:lang w:val="en-US" w:eastAsia="zh-CN"/>
        </w:rPr>
      </w:pPr>
      <w:r>
        <w:rPr>
          <w:rFonts w:hint="eastAsia" w:ascii="宋体" w:hAnsi="宋体" w:eastAsia="宋体" w:cs="Times New Roman"/>
          <w:color w:val="auto"/>
          <w:spacing w:val="10"/>
          <w:sz w:val="24"/>
          <w:highlight w:val="none"/>
          <w:lang w:val="en-US" w:eastAsia="zh-CN"/>
        </w:rPr>
        <w:t>16.5 乙方向甲方办理的签证须按甲方要求办理，否则属于无效签证。</w:t>
      </w:r>
    </w:p>
    <w:p w14:paraId="3C5B52BA">
      <w:pPr>
        <w:keepNext w:val="0"/>
        <w:keepLines w:val="0"/>
        <w:pageBreakBefore w:val="0"/>
        <w:widowControl w:val="0"/>
        <w:kinsoku/>
        <w:overflowPunct/>
        <w:topLinePunct w:val="0"/>
        <w:autoSpaceDE/>
        <w:autoSpaceDN/>
        <w:bidi w:val="0"/>
        <w:adjustRightInd/>
        <w:spacing w:line="408" w:lineRule="auto"/>
        <w:ind w:left="0" w:firstLine="0" w:firstLineChars="0"/>
        <w:jc w:val="left"/>
        <w:textAlignment w:val="auto"/>
        <w:outlineLvl w:val="9"/>
        <w:rPr>
          <w:rFonts w:hint="eastAsia" w:ascii="宋体" w:hAnsi="宋体"/>
          <w:b/>
          <w:color w:val="auto"/>
          <w:spacing w:val="10"/>
          <w:sz w:val="24"/>
          <w:highlight w:val="none"/>
          <w:lang w:val="en-US" w:eastAsia="zh-CN"/>
        </w:rPr>
      </w:pPr>
      <w:r>
        <w:rPr>
          <w:rFonts w:hint="eastAsia" w:ascii="宋体" w:hAnsi="宋体"/>
          <w:b/>
          <w:color w:val="auto"/>
          <w:spacing w:val="10"/>
          <w:sz w:val="24"/>
          <w:highlight w:val="none"/>
          <w:lang w:val="en-US" w:eastAsia="zh-CN"/>
        </w:rPr>
        <w:t>第十七条  保修</w:t>
      </w:r>
    </w:p>
    <w:p w14:paraId="3ED4D1C1">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17.1 缺陷责任期从工程通过竣工验收之日起计算，本工程缺陷责任期24个月。</w:t>
      </w:r>
    </w:p>
    <w:p w14:paraId="1E54C0B7">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17.2 缺陷责任期内，乙方在接到修理通知之日起3天内派人修理，否则可委托其它单位或人员修理，发生的费用在质量保证金内扣除，不足部分仍由乙方支付。</w:t>
      </w:r>
    </w:p>
    <w:p w14:paraId="59C61679">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17.3 缺陷责任期届满，乙方仍应按法律、行政法规或国家关于工程质量保修的有关规定，承担质量保修责任。保修从竣工验收合格之日起，且不低于法定最低保修年限。</w:t>
      </w:r>
    </w:p>
    <w:p w14:paraId="5513BF24">
      <w:pPr>
        <w:keepNext w:val="0"/>
        <w:keepLines w:val="0"/>
        <w:pageBreakBefore w:val="0"/>
        <w:widowControl w:val="0"/>
        <w:kinsoku/>
        <w:overflowPunct/>
        <w:topLinePunct w:val="0"/>
        <w:autoSpaceDE/>
        <w:autoSpaceDN/>
        <w:bidi w:val="0"/>
        <w:adjustRightInd/>
        <w:spacing w:line="408" w:lineRule="auto"/>
        <w:ind w:left="0" w:firstLine="0" w:firstLineChars="0"/>
        <w:jc w:val="left"/>
        <w:textAlignment w:val="auto"/>
        <w:outlineLvl w:val="9"/>
        <w:rPr>
          <w:rFonts w:hint="eastAsia" w:ascii="宋体" w:hAnsi="宋体" w:eastAsia="宋体" w:cs="Times New Roman"/>
          <w:b/>
          <w:color w:val="auto"/>
          <w:spacing w:val="10"/>
          <w:sz w:val="24"/>
          <w:highlight w:val="none"/>
        </w:rPr>
      </w:pPr>
      <w:r>
        <w:rPr>
          <w:rFonts w:hint="eastAsia" w:ascii="宋体" w:hAnsi="宋体" w:eastAsia="宋体" w:cs="Times New Roman"/>
          <w:b/>
          <w:color w:val="auto"/>
          <w:spacing w:val="10"/>
          <w:sz w:val="24"/>
          <w:highlight w:val="none"/>
        </w:rPr>
        <w:t>第十</w:t>
      </w:r>
      <w:r>
        <w:rPr>
          <w:rFonts w:hint="eastAsia" w:ascii="宋体" w:hAnsi="宋体" w:cs="Times New Roman"/>
          <w:b/>
          <w:color w:val="auto"/>
          <w:spacing w:val="10"/>
          <w:sz w:val="24"/>
          <w:highlight w:val="none"/>
          <w:lang w:val="en-US" w:eastAsia="zh-CN"/>
        </w:rPr>
        <w:t>八</w:t>
      </w:r>
      <w:r>
        <w:rPr>
          <w:rFonts w:hint="eastAsia" w:ascii="宋体" w:hAnsi="宋体" w:eastAsia="宋体" w:cs="Times New Roman"/>
          <w:b/>
          <w:color w:val="auto"/>
          <w:spacing w:val="10"/>
          <w:sz w:val="24"/>
          <w:highlight w:val="none"/>
        </w:rPr>
        <w:t>条  争议纠纷处置</w:t>
      </w:r>
    </w:p>
    <w:p w14:paraId="17494FAE">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18.1在履行合同时发生争议纠纷，双方应本着互谅、互让、友好协商的原则解决，可以自行和解或要求有关主管部门调解。任何一方不愿和解、调解或和解、调解不成的，可向甲方所在地人民法院提起诉讼。</w:t>
      </w:r>
    </w:p>
    <w:p w14:paraId="27F795EA">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18.2协议关于争议解决方式的约定具有最高效力，双方以后发生的补充协议（协议）、会议纪要、来往函件、发料单、结算单等涉及到争议解决方式的，均不得对抗此约定。</w:t>
      </w:r>
    </w:p>
    <w:p w14:paraId="68508A06">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18.3发生争议后，除非出现下列情况，双方都应继续履行合同，保持工作连续，保护好已完工作成果。</w:t>
      </w:r>
    </w:p>
    <w:p w14:paraId="0EBB77F6">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（1）单方违约导致合同确已无法履行，双方协议终止合同；</w:t>
      </w:r>
    </w:p>
    <w:p w14:paraId="5A611835">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（2）调解要求停止合同工作，且为双方接受；</w:t>
      </w:r>
    </w:p>
    <w:p w14:paraId="284809EC">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b/>
          <w:color w:val="auto"/>
          <w:spacing w:val="10"/>
          <w:sz w:val="24"/>
          <w:highlight w:val="none"/>
          <w:lang w:val="en-US" w:eastAsia="zh-CN"/>
        </w:rPr>
      </w:pPr>
      <w:r>
        <w:rPr>
          <w:rFonts w:hint="eastAsia" w:ascii="宋体" w:hAnsi="宋体"/>
          <w:color w:val="auto"/>
          <w:spacing w:val="10"/>
          <w:sz w:val="24"/>
          <w:highlight w:val="none"/>
          <w:lang w:val="en-US" w:eastAsia="zh-CN"/>
        </w:rPr>
        <w:t>（3）甲方所在地人民法院要求停止合同工作。</w:t>
      </w:r>
    </w:p>
    <w:p w14:paraId="131A73CC">
      <w:pPr>
        <w:keepNext w:val="0"/>
        <w:keepLines w:val="0"/>
        <w:pageBreakBefore w:val="0"/>
        <w:widowControl w:val="0"/>
        <w:kinsoku/>
        <w:overflowPunct/>
        <w:topLinePunct w:val="0"/>
        <w:autoSpaceDE/>
        <w:autoSpaceDN/>
        <w:bidi w:val="0"/>
        <w:adjustRightInd/>
        <w:spacing w:line="408" w:lineRule="auto"/>
        <w:ind w:left="0" w:firstLine="0" w:firstLineChars="0"/>
        <w:jc w:val="left"/>
        <w:textAlignment w:val="auto"/>
        <w:outlineLvl w:val="9"/>
        <w:rPr>
          <w:rFonts w:hint="eastAsia" w:ascii="宋体" w:hAnsi="宋体"/>
          <w:b/>
          <w:color w:val="auto"/>
          <w:spacing w:val="10"/>
          <w:sz w:val="24"/>
          <w:highlight w:val="none"/>
          <w:lang w:val="en-US" w:eastAsia="zh-CN"/>
        </w:rPr>
      </w:pPr>
      <w:r>
        <w:rPr>
          <w:rFonts w:hint="eastAsia" w:ascii="宋体" w:hAnsi="宋体"/>
          <w:b/>
          <w:color w:val="auto"/>
          <w:spacing w:val="10"/>
          <w:sz w:val="24"/>
          <w:highlight w:val="none"/>
          <w:lang w:val="en-US" w:eastAsia="zh-CN"/>
        </w:rPr>
        <w:t>第十九条  其它</w:t>
      </w:r>
    </w:p>
    <w:p w14:paraId="038A0F14">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19.1 乙方需服从甲方对于施工总体进度的协调，支持配合甲方工作，如系乙方原因造成的工期延误，除处以乙方工程结算总价30%违约金外，工期每延长一天，每天再处以乙方工程结算总价1%违约金，累计计算，但不超过工程结算总价30%。</w:t>
      </w:r>
    </w:p>
    <w:p w14:paraId="76D68AF6">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19.2 乙方人员岛上交通、饮食自理。</w:t>
      </w:r>
    </w:p>
    <w:p w14:paraId="6076027B">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19.3 乙方人员管理必须服从甲方管理规定。</w:t>
      </w:r>
    </w:p>
    <w:p w14:paraId="664664B8">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19.4 住宿、食堂由甲方有偿安排岛上临时住房，其它一切乙方自理。甲方提供的彩钢板活动房房间费用按照900元/间/月收取，并在乙方工程结算（每月进度款）中扣除，每间彩钢板房标准住宿8人。乙方在使用生活临时住房时应对房屋及其内外所有设施加以保护，如有人为损坏，乙方应照价赔偿。</w:t>
      </w:r>
    </w:p>
    <w:p w14:paraId="6B6E1C67">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19.5 乙方施工人员在项目现场发生堵门讨薪、打架斗殴、酗酒滋事等恶劣影响事件，乙方负全责，甲方有权冻结乙方包括本项目在内的所有福建安装的项目工程资金进行事件处理，并把恶意事件参与者清出福建安装不再合作。</w:t>
      </w:r>
    </w:p>
    <w:p w14:paraId="03D924D8">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19.6 乙方需严格管理乙方施工人员，禁止发生偷盗现场施工材料等行为，一旦发生，由甲方按所盗材料等值的10倍金额进行罚款，并移交当地公安部门处理。</w:t>
      </w:r>
    </w:p>
    <w:p w14:paraId="5D595BB9">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19.7 甲方在确认乙方当月进度款之后，于次月20日左右支付进度款。甲方按照合同约定支付乙方进度款后，乙方应首先保证农民工工资发放，如出现农民工工资未及时发放进而发生闹事现象，第一次按照工程总进度的20%进行罚款，第二次按照工程进度的50%进行罚款，第三次则一律不予结算，立即清理出场。</w:t>
      </w:r>
    </w:p>
    <w:p w14:paraId="5BD1FF8F">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19.8 乙方在施工现场所产生的水电费按照乙方工程结算总造价的1.5%进行扣除（每月按当月进度款的1.5%扣除）,施工现场及生活区用水用电必须按照甲方管理规定执行。</w:t>
      </w:r>
    </w:p>
    <w:p w14:paraId="4F36EC10">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19.9 乙方施工人员应遵守鱼山岛相关规定，18周岁以下和55周岁以上的人员不得上岛施工。</w:t>
      </w:r>
    </w:p>
    <w:p w14:paraId="4BF2C3FB">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19.10 遵守甲方的实名制考勤制度、安全管理制度，因乙方原因造成现场质量安全方面的业主或监理罚款由乙方承担。</w:t>
      </w:r>
    </w:p>
    <w:p w14:paraId="4EC99124">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19.11 安全检查时若发现安全隐患，甲方对乙方提出后，乙方应及时整改，未在要求限期内整改完成的，乙方每次承担违约金1000元。乙方不接受甲方的整改要求，每次应承担违约金5000元，且甲方可签发停工令要求乙方停工整顿。</w:t>
      </w:r>
    </w:p>
    <w:p w14:paraId="4BA06279">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19.12 现场安全文明施工服从甲方管理，包括但不限于涉及到的安全通道、安全围护、上人走道、安全防护密目网，水平防坠网，洞口防护等安全措施由乙方提供。</w:t>
      </w:r>
    </w:p>
    <w:p w14:paraId="75D5D3CA">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19.13 现场施工以合同中约定的工作范围为准，若发生工作范围的变化，应在双方协商一致的前提下签订补充协议，明确变化的内容及范围。拒绝乙方单方面调整施工范围，如乙方未能按照约定履行合同施工内容，甲方有权找第三方进行施工，在最终结算中未能按照约定履行的施工内容，将在乙方结算中按照合同正常计价，第三方队伍发生的结算产值从乙方结算中扣除。</w:t>
      </w:r>
    </w:p>
    <w:p w14:paraId="52A68561">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19.14 现场临时照明灯具由乙方提供，乙方不得以灯具不全为借口影响到现场施工进度，甲方将进行考核。</w:t>
      </w:r>
    </w:p>
    <w:p w14:paraId="0EAB5BFD">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19.15 乙方须遵守甲方和业主施工过程中下发的其他各种管理规定。</w:t>
      </w:r>
    </w:p>
    <w:p w14:paraId="187B49A5">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19.16 乙方施工人员进场必须向甲方提供本人身份证及银行卡；</w:t>
      </w:r>
    </w:p>
    <w:p w14:paraId="7ECDA857">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19.17 本合同未尽事项，以甲方和建设单位合同中相关内容条款作为补充。</w:t>
      </w:r>
    </w:p>
    <w:p w14:paraId="60545A14">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19.18 本合同未尽事宜，可另行协商订立补充合同增加条款或签订附件。</w:t>
      </w:r>
    </w:p>
    <w:p w14:paraId="457C13D4">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19.19 本合同自双方签章之日起生效；至施工完成，合同价款及质保金结清后自行失效。</w:t>
      </w:r>
    </w:p>
    <w:p w14:paraId="13781FAA">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19.20 甲乙双方如发生合同争议，应本着平等互利的原则，协商解决。如协商不成，任何一方均可向甲方所在地人民法院提起诉讼。</w:t>
      </w:r>
    </w:p>
    <w:p w14:paraId="60E6DB39">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eastAsia="宋体"/>
          <w:color w:val="auto"/>
          <w:spacing w:val="10"/>
          <w:sz w:val="24"/>
          <w:highlight w:val="none"/>
        </w:rPr>
      </w:pPr>
      <w:r>
        <w:rPr>
          <w:rFonts w:hint="eastAsia" w:ascii="宋体" w:hAnsi="宋体"/>
          <w:color w:val="auto"/>
          <w:spacing w:val="10"/>
          <w:sz w:val="24"/>
          <w:highlight w:val="none"/>
          <w:lang w:val="en-US" w:eastAsia="zh-CN"/>
        </w:rPr>
        <w:t xml:space="preserve">19.21 </w:t>
      </w:r>
      <w:r>
        <w:rPr>
          <w:rFonts w:hint="eastAsia" w:ascii="宋体" w:hAnsi="宋体" w:eastAsia="宋体"/>
          <w:color w:val="auto"/>
          <w:spacing w:val="10"/>
          <w:sz w:val="24"/>
          <w:highlight w:val="none"/>
        </w:rPr>
        <w:t>本合同自双方签章之日起生效。</w:t>
      </w:r>
    </w:p>
    <w:p w14:paraId="145B670B">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19.22 本合同正本一式肆份，甲方执叁份，乙方执壹份。</w:t>
      </w:r>
    </w:p>
    <w:p w14:paraId="610750CB">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eastAsia="宋体" w:cs="宋体"/>
          <w:color w:val="auto"/>
          <w:spacing w:val="10"/>
          <w:sz w:val="24"/>
          <w:highlight w:val="none"/>
        </w:rPr>
      </w:pPr>
      <w:r>
        <w:rPr>
          <w:rFonts w:hint="eastAsia" w:ascii="宋体" w:hAnsi="宋体"/>
          <w:color w:val="auto"/>
          <w:spacing w:val="10"/>
          <w:sz w:val="24"/>
          <w:highlight w:val="none"/>
          <w:lang w:val="en-US" w:eastAsia="zh-CN"/>
        </w:rPr>
        <w:t xml:space="preserve">19.23 </w:t>
      </w:r>
      <w:r>
        <w:rPr>
          <w:rFonts w:hint="eastAsia" w:ascii="宋体" w:hAnsi="宋体" w:eastAsia="宋体"/>
          <w:color w:val="auto"/>
          <w:spacing w:val="10"/>
          <w:sz w:val="24"/>
          <w:highlight w:val="none"/>
        </w:rPr>
        <w:t>甲方委派其下属</w:t>
      </w:r>
      <w:r>
        <w:rPr>
          <w:rFonts w:hint="eastAsia" w:ascii="宋体" w:hAnsi="宋体" w:eastAsia="宋体"/>
          <w:color w:val="auto"/>
          <w:spacing w:val="10"/>
          <w:sz w:val="24"/>
          <w:highlight w:val="none"/>
          <w:lang w:eastAsia="zh-CN"/>
        </w:rPr>
        <w:t>钢制品分公司</w:t>
      </w:r>
      <w:r>
        <w:rPr>
          <w:rFonts w:hint="eastAsia" w:ascii="宋体" w:hAnsi="宋体" w:eastAsia="宋体"/>
          <w:color w:val="auto"/>
          <w:spacing w:val="10"/>
          <w:sz w:val="24"/>
          <w:highlight w:val="none"/>
        </w:rPr>
        <w:t>全权负责本项目的分包合同的订立、款项的支付、项目验收及项目结算等各种相关事宜。</w:t>
      </w:r>
    </w:p>
    <w:p w14:paraId="228942E0">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eastAsia="宋体"/>
          <w:color w:val="auto"/>
          <w:spacing w:val="10"/>
          <w:sz w:val="24"/>
          <w:highlight w:val="none"/>
          <w:lang w:val="en-US" w:eastAsia="zh-CN"/>
        </w:rPr>
      </w:pPr>
      <w:r>
        <w:rPr>
          <w:rFonts w:hint="eastAsia" w:ascii="宋体" w:hAnsi="宋体" w:eastAsia="宋体"/>
          <w:color w:val="auto"/>
          <w:spacing w:val="10"/>
          <w:sz w:val="24"/>
          <w:highlight w:val="none"/>
          <w:lang w:val="en-US" w:eastAsia="zh-CN"/>
        </w:rPr>
        <w:t>本合同附件</w:t>
      </w:r>
    </w:p>
    <w:p w14:paraId="76B81DFB">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default" w:ascii="宋体" w:hAnsi="宋体" w:eastAsia="宋体"/>
          <w:color w:val="auto"/>
          <w:spacing w:val="10"/>
          <w:sz w:val="24"/>
          <w:highlight w:val="none"/>
          <w:lang w:val="en-US" w:eastAsia="zh-CN"/>
        </w:rPr>
      </w:pPr>
      <w:r>
        <w:rPr>
          <w:rFonts w:hint="eastAsia" w:ascii="宋体" w:hAnsi="宋体"/>
          <w:color w:val="auto"/>
          <w:spacing w:val="10"/>
          <w:sz w:val="24"/>
          <w:highlight w:val="none"/>
          <w:lang w:val="en-US" w:eastAsia="zh-CN"/>
        </w:rPr>
        <w:t>附件1</w:t>
      </w:r>
      <w:r>
        <w:rPr>
          <w:rFonts w:hint="eastAsia" w:ascii="宋体" w:hAnsi="宋体" w:eastAsia="宋体"/>
          <w:color w:val="auto"/>
          <w:spacing w:val="10"/>
          <w:sz w:val="24"/>
          <w:highlight w:val="none"/>
          <w:lang w:val="en-US" w:eastAsia="zh-CN"/>
        </w:rPr>
        <w:t>–</w:t>
      </w:r>
      <w:permStart w:id="49" w:edGrp="everyone"/>
      <w:r>
        <w:rPr>
          <w:rFonts w:hint="eastAsia" w:ascii="宋体" w:hAnsi="宋体"/>
          <w:color w:val="auto"/>
          <w:spacing w:val="10"/>
          <w:sz w:val="24"/>
          <w:highlight w:val="none"/>
          <w:lang w:val="en-US" w:eastAsia="zh-CN"/>
        </w:rPr>
        <w:t>浙石化2025炼油芳烃事业部大修(1#气提、2#硫磺、4#硫磺)项目隐患消缺中补焊及管道技改等施工内容</w:t>
      </w:r>
      <w:permEnd w:id="49"/>
      <w:r>
        <w:rPr>
          <w:rFonts w:hint="eastAsia" w:ascii="宋体" w:hAnsi="宋体"/>
          <w:color w:val="auto"/>
          <w:spacing w:val="10"/>
          <w:sz w:val="24"/>
          <w:highlight w:val="none"/>
          <w:lang w:val="en-US" w:eastAsia="zh-CN"/>
        </w:rPr>
        <w:t>劳务分包工程报价清单</w:t>
      </w:r>
    </w:p>
    <w:p w14:paraId="2F601375">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eastAsia="宋体"/>
          <w:color w:val="auto"/>
          <w:spacing w:val="10"/>
          <w:sz w:val="24"/>
          <w:highlight w:val="none"/>
          <w:lang w:val="en-US" w:eastAsia="zh-CN"/>
        </w:rPr>
      </w:pPr>
      <w:r>
        <w:rPr>
          <w:rFonts w:hint="eastAsia" w:ascii="宋体" w:hAnsi="宋体" w:eastAsia="宋体"/>
          <w:color w:val="auto"/>
          <w:spacing w:val="10"/>
          <w:sz w:val="24"/>
          <w:highlight w:val="none"/>
          <w:lang w:val="en-US" w:eastAsia="zh-CN"/>
        </w:rPr>
        <w:t>附件</w:t>
      </w:r>
      <w:r>
        <w:rPr>
          <w:rFonts w:hint="eastAsia" w:ascii="宋体" w:hAnsi="宋体"/>
          <w:color w:val="auto"/>
          <w:spacing w:val="10"/>
          <w:sz w:val="24"/>
          <w:highlight w:val="none"/>
          <w:lang w:val="en-US" w:eastAsia="zh-CN"/>
        </w:rPr>
        <w:t>2</w:t>
      </w:r>
      <w:r>
        <w:rPr>
          <w:rFonts w:hint="eastAsia" w:ascii="宋体" w:hAnsi="宋体" w:eastAsia="宋体"/>
          <w:color w:val="auto"/>
          <w:spacing w:val="10"/>
          <w:sz w:val="24"/>
          <w:highlight w:val="none"/>
          <w:lang w:val="en-US" w:eastAsia="zh-CN"/>
        </w:rPr>
        <w:t>–施工安全管理协议书</w:t>
      </w:r>
    </w:p>
    <w:p w14:paraId="5DC0C42C">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eastAsia="宋体"/>
          <w:color w:val="auto"/>
          <w:spacing w:val="10"/>
          <w:sz w:val="24"/>
          <w:highlight w:val="none"/>
          <w:lang w:val="en-US" w:eastAsia="zh-CN"/>
        </w:rPr>
      </w:pPr>
      <w:r>
        <w:rPr>
          <w:rFonts w:hint="eastAsia" w:ascii="宋体" w:hAnsi="宋体" w:eastAsia="宋体"/>
          <w:color w:val="auto"/>
          <w:spacing w:val="10"/>
          <w:sz w:val="24"/>
          <w:highlight w:val="none"/>
          <w:lang w:val="en-US" w:eastAsia="zh-CN"/>
        </w:rPr>
        <w:t>附件</w:t>
      </w:r>
      <w:r>
        <w:rPr>
          <w:rFonts w:hint="eastAsia" w:ascii="宋体" w:hAnsi="宋体"/>
          <w:color w:val="auto"/>
          <w:spacing w:val="10"/>
          <w:sz w:val="24"/>
          <w:highlight w:val="none"/>
          <w:lang w:val="en-US" w:eastAsia="zh-CN"/>
        </w:rPr>
        <w:t>3</w:t>
      </w:r>
      <w:r>
        <w:rPr>
          <w:rFonts w:hint="eastAsia" w:ascii="宋体" w:hAnsi="宋体" w:eastAsia="宋体"/>
          <w:color w:val="auto"/>
          <w:spacing w:val="10"/>
          <w:sz w:val="24"/>
          <w:highlight w:val="none"/>
          <w:lang w:val="en-US" w:eastAsia="zh-CN"/>
        </w:rPr>
        <w:t>–不拖欠民工工资承诺书</w:t>
      </w:r>
    </w:p>
    <w:p w14:paraId="1B0260F3">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eastAsia"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附件4</w:t>
      </w:r>
      <w:r>
        <w:rPr>
          <w:rFonts w:hint="eastAsia" w:ascii="宋体" w:hAnsi="宋体" w:eastAsia="宋体"/>
          <w:color w:val="auto"/>
          <w:spacing w:val="10"/>
          <w:sz w:val="24"/>
          <w:highlight w:val="none"/>
          <w:lang w:val="en-US" w:eastAsia="zh-CN"/>
        </w:rPr>
        <w:t>–</w:t>
      </w:r>
      <w:r>
        <w:rPr>
          <w:rFonts w:hint="eastAsia" w:ascii="宋体" w:hAnsi="宋体"/>
          <w:color w:val="auto"/>
          <w:spacing w:val="10"/>
          <w:sz w:val="24"/>
          <w:highlight w:val="none"/>
          <w:lang w:val="en-US" w:eastAsia="zh-CN"/>
        </w:rPr>
        <w:t>工程款用于发放农民工工资的承诺书</w:t>
      </w:r>
    </w:p>
    <w:p w14:paraId="0D99478C">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default" w:ascii="宋体" w:hAnsi="宋体"/>
          <w:color w:val="auto"/>
          <w:spacing w:val="10"/>
          <w:sz w:val="24"/>
          <w:highlight w:val="none"/>
          <w:lang w:val="en-US" w:eastAsia="zh-CN"/>
        </w:rPr>
      </w:pPr>
      <w:r>
        <w:rPr>
          <w:rFonts w:hint="eastAsia" w:ascii="宋体" w:hAnsi="宋体"/>
          <w:color w:val="auto"/>
          <w:spacing w:val="10"/>
          <w:sz w:val="24"/>
          <w:highlight w:val="none"/>
          <w:lang w:val="en-US" w:eastAsia="zh-CN"/>
        </w:rPr>
        <w:t>附件5</w:t>
      </w:r>
      <w:r>
        <w:rPr>
          <w:rFonts w:hint="eastAsia" w:ascii="宋体" w:hAnsi="宋体" w:eastAsia="宋体"/>
          <w:color w:val="auto"/>
          <w:spacing w:val="10"/>
          <w:sz w:val="24"/>
          <w:highlight w:val="none"/>
          <w:lang w:val="en-US" w:eastAsia="zh-CN"/>
        </w:rPr>
        <w:t>–</w:t>
      </w:r>
      <w:r>
        <w:rPr>
          <w:rFonts w:hint="default" w:ascii="宋体" w:hAnsi="宋体"/>
          <w:color w:val="auto"/>
          <w:spacing w:val="10"/>
          <w:sz w:val="24"/>
          <w:highlight w:val="none"/>
          <w:lang w:val="en-US" w:eastAsia="zh-CN"/>
        </w:rPr>
        <w:t>关于变更签证承诺</w:t>
      </w:r>
    </w:p>
    <w:p w14:paraId="16660B08">
      <w:pPr>
        <w:keepNext w:val="0"/>
        <w:keepLines w:val="0"/>
        <w:pageBreakBefore w:val="0"/>
        <w:widowControl w:val="0"/>
        <w:kinsoku/>
        <w:wordWrap/>
        <w:overflowPunct/>
        <w:topLinePunct w:val="0"/>
        <w:autoSpaceDE/>
        <w:autoSpaceDN/>
        <w:bidi w:val="0"/>
        <w:adjustRightInd/>
        <w:snapToGrid/>
        <w:spacing w:line="408" w:lineRule="auto"/>
        <w:ind w:left="0" w:firstLine="520" w:firstLineChars="200"/>
        <w:jc w:val="left"/>
        <w:textAlignment w:val="auto"/>
        <w:outlineLvl w:val="9"/>
        <w:rPr>
          <w:rFonts w:hint="default" w:ascii="宋体" w:hAnsi="宋体" w:cs="Times New Roman"/>
          <w:color w:val="auto"/>
          <w:spacing w:val="10"/>
          <w:sz w:val="24"/>
          <w:highlight w:val="none"/>
          <w:lang w:val="en-US" w:eastAsia="zh-CN"/>
        </w:rPr>
      </w:pPr>
      <w:r>
        <w:rPr>
          <w:rFonts w:hint="eastAsia" w:ascii="宋体" w:hAnsi="宋体"/>
          <w:color w:val="auto"/>
          <w:spacing w:val="10"/>
          <w:sz w:val="24"/>
          <w:highlight w:val="none"/>
          <w:lang w:val="en-US" w:eastAsia="zh-CN"/>
        </w:rPr>
        <w:t>附件6</w:t>
      </w:r>
      <w:r>
        <w:rPr>
          <w:rFonts w:hint="eastAsia" w:ascii="宋体" w:hAnsi="宋体" w:eastAsia="宋体"/>
          <w:color w:val="auto"/>
          <w:spacing w:val="10"/>
          <w:sz w:val="24"/>
          <w:highlight w:val="none"/>
          <w:lang w:val="en-US" w:eastAsia="zh-CN"/>
        </w:rPr>
        <w:t>–</w:t>
      </w:r>
      <w:r>
        <w:rPr>
          <w:rFonts w:hint="eastAsia" w:ascii="宋体" w:hAnsi="宋体" w:cs="Times New Roman"/>
          <w:color w:val="auto"/>
          <w:spacing w:val="10"/>
          <w:sz w:val="24"/>
          <w:highlight w:val="none"/>
          <w:lang w:val="en-US" w:eastAsia="zh-CN"/>
        </w:rPr>
        <w:t>工作内容及工程量计算及计价规则</w:t>
      </w:r>
    </w:p>
    <w:p w14:paraId="61717182">
      <w:pPr>
        <w:adjustRightInd w:val="0"/>
        <w:snapToGrid w:val="0"/>
        <w:spacing w:line="460" w:lineRule="exact"/>
        <w:ind w:left="0" w:firstLine="0" w:firstLineChars="0"/>
        <w:rPr>
          <w:rFonts w:hint="eastAsia" w:ascii="宋体" w:hAnsi="宋体" w:eastAsia="宋体" w:cs="宋体"/>
          <w:sz w:val="24"/>
        </w:rPr>
      </w:pPr>
    </w:p>
    <w:p w14:paraId="02C477A8">
      <w:pPr>
        <w:adjustRightInd w:val="0"/>
        <w:snapToGrid w:val="0"/>
        <w:spacing w:line="460" w:lineRule="exact"/>
        <w:ind w:left="4800" w:hanging="4800" w:hangingChars="2000"/>
        <w:rPr>
          <w:rFonts w:hint="eastAsia" w:ascii="宋体" w:hAnsi="宋体" w:eastAsia="宋体" w:cs="宋体"/>
          <w:sz w:val="24"/>
          <w:lang w:val="en-US" w:eastAsia="zh-CN"/>
        </w:rPr>
      </w:pPr>
      <w:r>
        <w:rPr>
          <w:rFonts w:hint="eastAsia" w:ascii="宋体" w:hAnsi="宋体" w:eastAsia="宋体" w:cs="宋体"/>
          <w:sz w:val="24"/>
        </w:rPr>
        <w:t>甲方：</w:t>
      </w:r>
      <w:r>
        <w:rPr>
          <w:rFonts w:hint="eastAsia" w:ascii="宋体" w:hAnsi="宋体" w:eastAsia="宋体" w:cs="宋体"/>
          <w:sz w:val="24"/>
          <w:lang w:eastAsia="zh-CN"/>
        </w:rPr>
        <w:t>福建省工业设备安装有限公司</w:t>
      </w:r>
      <w:r>
        <w:rPr>
          <w:rFonts w:hint="eastAsia" w:ascii="宋体" w:hAnsi="宋体" w:eastAsia="宋体" w:cs="宋体"/>
          <w:sz w:val="24"/>
        </w:rPr>
        <w:t xml:space="preserve">   乙方：</w:t>
      </w:r>
      <w:r>
        <w:rPr>
          <w:rFonts w:hint="eastAsia" w:ascii="宋体" w:hAnsi="宋体" w:eastAsia="宋体" w:cs="宋体"/>
          <w:spacing w:val="10"/>
          <w:sz w:val="24"/>
          <w:lang w:val="en-US" w:eastAsia="zh-CN"/>
        </w:rPr>
        <w:t xml:space="preserve">                       </w:t>
      </w:r>
    </w:p>
    <w:p w14:paraId="2816C41E">
      <w:pPr>
        <w:spacing w:line="460" w:lineRule="exact"/>
        <w:rPr>
          <w:rFonts w:hint="eastAsia" w:ascii="宋体" w:hAnsi="宋体" w:eastAsia="宋体" w:cs="宋体"/>
          <w:color w:val="000000"/>
          <w:sz w:val="24"/>
        </w:rPr>
      </w:pPr>
      <w:r>
        <w:rPr>
          <w:rFonts w:hint="eastAsia" w:ascii="宋体" w:hAnsi="宋体" w:eastAsia="宋体" w:cs="宋体"/>
          <w:color w:val="000000"/>
          <w:sz w:val="24"/>
        </w:rPr>
        <w:t xml:space="preserve">法定代表或                       </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 xml:space="preserve"> 法定代表或</w:t>
      </w:r>
    </w:p>
    <w:p w14:paraId="2C49AD74">
      <w:pPr>
        <w:spacing w:line="460" w:lineRule="exact"/>
        <w:rPr>
          <w:rFonts w:hint="eastAsia" w:ascii="宋体" w:hAnsi="宋体" w:eastAsia="宋体" w:cs="宋体"/>
          <w:color w:val="000000"/>
          <w:sz w:val="24"/>
        </w:rPr>
      </w:pPr>
      <w:r>
        <w:rPr>
          <w:rFonts w:hint="eastAsia" w:ascii="宋体" w:hAnsi="宋体" w:eastAsia="宋体" w:cs="宋体"/>
          <w:color w:val="000000"/>
          <w:sz w:val="24"/>
        </w:rPr>
        <w:t xml:space="preserve">委托代理人：                     </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 xml:space="preserve"> 委托代理人：   </w:t>
      </w:r>
    </w:p>
    <w:p w14:paraId="5D69CF14">
      <w:pPr>
        <w:snapToGrid/>
        <w:spacing w:line="460" w:lineRule="exact"/>
        <w:jc w:val="left"/>
        <w:rPr>
          <w:rFonts w:hint="eastAsia" w:ascii="宋体" w:hAnsi="宋体" w:eastAsia="宋体" w:cs="宋体"/>
          <w:color w:val="auto"/>
          <w:spacing w:val="10"/>
          <w:sz w:val="24"/>
          <w:highlight w:val="none"/>
        </w:rPr>
      </w:pPr>
      <w:r>
        <w:rPr>
          <w:rFonts w:hint="eastAsia" w:ascii="宋体" w:hAnsi="宋体" w:eastAsia="宋体" w:cs="宋体"/>
          <w:color w:val="000000"/>
          <w:sz w:val="24"/>
        </w:rPr>
        <w:t xml:space="preserve">                                   签订时间：   年   月   日</w:t>
      </w:r>
    </w:p>
    <w:p w14:paraId="3D46F2B6">
      <w:pPr>
        <w:keepNext w:val="0"/>
        <w:keepLines w:val="0"/>
        <w:pageBreakBefore w:val="0"/>
        <w:widowControl w:val="0"/>
        <w:kinsoku/>
        <w:wordWrap w:val="0"/>
        <w:overflowPunct/>
        <w:topLinePunct w:val="0"/>
        <w:autoSpaceDE/>
        <w:autoSpaceDN/>
        <w:bidi w:val="0"/>
        <w:adjustRightInd/>
        <w:snapToGrid/>
        <w:spacing w:before="327" w:beforeLines="100" w:line="480" w:lineRule="auto"/>
        <w:ind w:left="0" w:firstLine="0" w:firstLineChars="0"/>
        <w:jc w:val="right"/>
        <w:textAlignment w:val="auto"/>
        <w:outlineLvl w:val="9"/>
        <w:rPr>
          <w:rFonts w:hint="eastAsia" w:ascii="宋体" w:hAnsi="宋体"/>
          <w:color w:val="auto"/>
          <w:spacing w:val="10"/>
          <w:sz w:val="24"/>
          <w:highlight w:val="none"/>
        </w:rPr>
      </w:pPr>
      <w:r>
        <w:rPr>
          <w:rFonts w:hint="eastAsia" w:ascii="宋体" w:hAnsi="宋体"/>
          <w:color w:val="auto"/>
          <w:spacing w:val="10"/>
          <w:sz w:val="24"/>
          <w:highlight w:val="none"/>
        </w:rPr>
        <w:t xml:space="preserve">  </w:t>
      </w:r>
    </w:p>
    <w:p w14:paraId="4BAB7668">
      <w:pP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br w:type="page"/>
      </w:r>
    </w:p>
    <w:p w14:paraId="064B0DCF">
      <w:pPr>
        <w:keepNext w:val="0"/>
        <w:keepLines w:val="0"/>
        <w:pageBreakBefore w:val="0"/>
        <w:widowControl w:val="0"/>
        <w:kinsoku/>
        <w:wordWrap/>
        <w:overflowPunct/>
        <w:topLinePunct w:val="0"/>
        <w:autoSpaceDE/>
        <w:autoSpaceDN/>
        <w:bidi w:val="0"/>
        <w:adjustRightInd/>
        <w:snapToGrid w:val="0"/>
        <w:spacing w:line="360" w:lineRule="auto"/>
        <w:jc w:val="both"/>
        <w:textAlignment w:val="auto"/>
        <w:outlineLvl w:val="1"/>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附件</w:t>
      </w:r>
      <w:r>
        <w:rPr>
          <w:rFonts w:hint="eastAsia" w:ascii="宋体" w:hAnsi="宋体" w:cs="宋体"/>
          <w:b/>
          <w:bCs/>
          <w:sz w:val="28"/>
          <w:szCs w:val="28"/>
          <w:highlight w:val="none"/>
          <w:lang w:val="en-US" w:eastAsia="zh-CN"/>
        </w:rPr>
        <w:t>2</w:t>
      </w:r>
      <w:r>
        <w:rPr>
          <w:rFonts w:hint="eastAsia" w:ascii="宋体" w:hAnsi="宋体" w:eastAsia="宋体" w:cs="宋体"/>
          <w:b/>
          <w:bCs/>
          <w:sz w:val="28"/>
          <w:szCs w:val="28"/>
          <w:highlight w:val="none"/>
          <w:lang w:val="en-US" w:eastAsia="zh-CN"/>
        </w:rPr>
        <w:t>：</w:t>
      </w:r>
    </w:p>
    <w:p w14:paraId="16FECAE2">
      <w:pPr>
        <w:keepNext w:val="0"/>
        <w:keepLines w:val="0"/>
        <w:pageBreakBefore w:val="0"/>
        <w:widowControl w:val="0"/>
        <w:kinsoku/>
        <w:wordWrap/>
        <w:overflowPunct/>
        <w:topLinePunct w:val="0"/>
        <w:autoSpaceDE/>
        <w:autoSpaceDN/>
        <w:bidi w:val="0"/>
        <w:adjustRightInd/>
        <w:snapToGrid w:val="0"/>
        <w:spacing w:before="100" w:after="100" w:line="360" w:lineRule="auto"/>
        <w:jc w:val="center"/>
        <w:textAlignment w:val="auto"/>
        <w:rPr>
          <w:rFonts w:hint="eastAsia" w:ascii="宋体" w:hAnsi="宋体" w:eastAsia="宋体" w:cs="宋体"/>
          <w:sz w:val="24"/>
          <w:highlight w:val="none"/>
        </w:rPr>
      </w:pPr>
      <w:r>
        <w:rPr>
          <w:rFonts w:hint="eastAsia" w:ascii="宋体" w:hAnsi="宋体" w:eastAsia="宋体" w:cs="宋体"/>
          <w:b/>
          <w:bCs/>
          <w:sz w:val="32"/>
          <w:szCs w:val="32"/>
          <w:highlight w:val="none"/>
        </w:rPr>
        <w:t>施工安全管理协议书</w:t>
      </w:r>
    </w:p>
    <w:p w14:paraId="1C8D07D4">
      <w:pPr>
        <w:keepNext w:val="0"/>
        <w:keepLines w:val="0"/>
        <w:pageBreakBefore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sz w:val="24"/>
          <w:highlight w:val="none"/>
        </w:rPr>
      </w:pPr>
      <w:r>
        <w:rPr>
          <w:rFonts w:hint="eastAsia" w:ascii="宋体" w:hAnsi="宋体" w:eastAsia="宋体" w:cs="宋体"/>
          <w:sz w:val="24"/>
          <w:highlight w:val="none"/>
        </w:rPr>
        <w:t>工程名称</w:t>
      </w:r>
      <w:r>
        <w:rPr>
          <w:rFonts w:hint="eastAsia" w:ascii="宋体" w:hAnsi="宋体" w:cs="宋体"/>
          <w:sz w:val="24"/>
          <w:highlight w:val="none"/>
          <w:lang w:eastAsia="zh-CN"/>
        </w:rPr>
        <w:t>：</w:t>
      </w:r>
      <w:r>
        <w:rPr>
          <w:rFonts w:hint="eastAsia" w:ascii="宋体" w:hAnsi="宋体" w:eastAsia="宋体" w:cs="宋体"/>
          <w:sz w:val="24"/>
          <w:highlight w:val="none"/>
          <w:u w:val="single"/>
          <w:lang w:val="en-US" w:eastAsia="zh-CN"/>
        </w:rPr>
        <w:t xml:space="preserve"> </w:t>
      </w:r>
      <w:permStart w:id="50" w:edGrp="everyone"/>
      <w:r>
        <w:rPr>
          <w:rFonts w:hint="eastAsia" w:ascii="宋体" w:hAnsi="宋体" w:cs="宋体"/>
          <w:sz w:val="24"/>
          <w:highlight w:val="none"/>
          <w:u w:val="single"/>
          <w:lang w:val="en-US" w:eastAsia="zh-CN"/>
        </w:rPr>
        <w:t>浙石化2025炼油芳烃事业部大修(1#气提、2#硫磺、4#硫磺)项目隐患消缺中补焊及管道技改等施工内容</w:t>
      </w:r>
      <w:permEnd w:id="50"/>
      <w:r>
        <w:rPr>
          <w:rFonts w:hint="eastAsia" w:ascii="宋体" w:hAnsi="宋体" w:cs="宋体"/>
          <w:sz w:val="24"/>
          <w:highlight w:val="none"/>
          <w:u w:val="single"/>
          <w:lang w:eastAsia="zh-CN"/>
        </w:rPr>
        <w:t>劳务分包</w:t>
      </w:r>
      <w:r>
        <w:rPr>
          <w:rFonts w:hint="eastAsia" w:ascii="宋体" w:hAnsi="宋体" w:cs="宋体"/>
          <w:sz w:val="24"/>
          <w:highlight w:val="none"/>
          <w:u w:val="single"/>
          <w:lang w:val="en-US" w:eastAsia="zh-CN"/>
        </w:rPr>
        <w:t>工程</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 xml:space="preserve">   </w:t>
      </w:r>
    </w:p>
    <w:p w14:paraId="00E21DF2">
      <w:pPr>
        <w:keepNext w:val="0"/>
        <w:keepLines w:val="0"/>
        <w:pageBreakBefore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总包单位</w:t>
      </w:r>
      <w:r>
        <w:rPr>
          <w:rFonts w:hint="eastAsia" w:ascii="宋体" w:hAnsi="宋体" w:cs="宋体"/>
          <w:sz w:val="24"/>
          <w:highlight w:val="none"/>
          <w:lang w:eastAsia="zh-CN"/>
        </w:rPr>
        <w:t>：</w:t>
      </w:r>
      <w:r>
        <w:rPr>
          <w:rFonts w:hint="eastAsia" w:ascii="宋体" w:hAnsi="宋体" w:eastAsia="宋体" w:cs="宋体"/>
          <w:sz w:val="24"/>
          <w:highlight w:val="none"/>
          <w:u w:val="single"/>
        </w:rPr>
        <w:t xml:space="preserve"> 福建省工业设备安装有限公司   </w:t>
      </w:r>
      <w:r>
        <w:rPr>
          <w:rFonts w:hint="eastAsia" w:ascii="宋体" w:hAnsi="宋体" w:eastAsia="宋体" w:cs="宋体"/>
          <w:sz w:val="24"/>
          <w:highlight w:val="none"/>
        </w:rPr>
        <w:t>（以下简称甲方</w:t>
      </w:r>
      <w:r>
        <w:rPr>
          <w:rFonts w:hint="eastAsia" w:ascii="宋体" w:hAnsi="宋体" w:cs="宋体"/>
          <w:sz w:val="24"/>
          <w:highlight w:val="none"/>
          <w:lang w:eastAsia="zh-CN"/>
        </w:rPr>
        <w:t>）</w:t>
      </w:r>
    </w:p>
    <w:p w14:paraId="4ACB7B70">
      <w:pPr>
        <w:pStyle w:val="41"/>
        <w:keepNext w:val="0"/>
        <w:keepLines w:val="0"/>
        <w:pageBreakBefore w:val="0"/>
        <w:kinsoku/>
        <w:wordWrap/>
        <w:overflowPunct/>
        <w:topLinePunct w:val="0"/>
        <w:autoSpaceDE/>
        <w:autoSpaceDN/>
        <w:bidi w:val="0"/>
        <w:adjustRightInd/>
        <w:spacing w:line="360" w:lineRule="auto"/>
        <w:ind w:left="0" w:leftChars="0" w:firstLine="0" w:firstLineChars="0"/>
        <w:jc w:val="left"/>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分</w:t>
      </w:r>
      <w:r>
        <w:rPr>
          <w:rFonts w:hint="eastAsia" w:ascii="宋体" w:hAnsi="宋体" w:eastAsia="宋体" w:cs="宋体"/>
          <w:kern w:val="0"/>
          <w:sz w:val="24"/>
          <w:szCs w:val="20"/>
          <w:highlight w:val="none"/>
          <w:lang w:val="en-US" w:eastAsia="zh-CN" w:bidi="ar-SA"/>
        </w:rPr>
        <w:t>包单位</w:t>
      </w:r>
      <w:r>
        <w:rPr>
          <w:rFonts w:hint="eastAsia" w:ascii="宋体" w:hAnsi="宋体" w:cs="宋体"/>
          <w:sz w:val="24"/>
          <w:highlight w:val="none"/>
          <w:lang w:eastAsia="zh-CN"/>
        </w:rPr>
        <w:t>：</w:t>
      </w:r>
      <w:r>
        <w:rPr>
          <w:rFonts w:hint="eastAsia" w:ascii="宋体" w:hAnsi="宋体" w:eastAsia="宋体" w:cs="宋体"/>
          <w:kern w:val="0"/>
          <w:sz w:val="24"/>
          <w:szCs w:val="20"/>
          <w:highlight w:val="none"/>
          <w:u w:val="single"/>
          <w:lang w:val="en-US" w:eastAsia="zh-CN" w:bidi="ar-SA"/>
        </w:rPr>
        <w:t xml:space="preserve"> </w:t>
      </w:r>
      <w:r>
        <w:rPr>
          <w:rFonts w:hint="eastAsia" w:ascii="宋体" w:hAnsi="宋体" w:cs="宋体"/>
          <w:kern w:val="0"/>
          <w:sz w:val="24"/>
          <w:szCs w:val="20"/>
          <w:highlight w:val="none"/>
          <w:u w:val="single"/>
          <w:lang w:val="en-US" w:eastAsia="zh-CN" w:bidi="ar-SA"/>
        </w:rPr>
        <w:t xml:space="preserve">                          </w:t>
      </w:r>
      <w:r>
        <w:rPr>
          <w:rFonts w:hint="eastAsia" w:ascii="宋体" w:hAnsi="宋体" w:eastAsia="宋体" w:cs="宋体"/>
          <w:kern w:val="0"/>
          <w:sz w:val="24"/>
          <w:szCs w:val="20"/>
          <w:highlight w:val="none"/>
          <w:u w:val="single"/>
          <w:lang w:val="en-US" w:eastAsia="zh-CN" w:bidi="ar-SA"/>
        </w:rPr>
        <w:t xml:space="preserve">   </w:t>
      </w:r>
      <w:r>
        <w:rPr>
          <w:rFonts w:hint="eastAsia" w:ascii="宋体" w:hAnsi="宋体" w:eastAsia="宋体" w:cs="宋体"/>
          <w:sz w:val="24"/>
          <w:highlight w:val="none"/>
        </w:rPr>
        <w:t>（以下简称乙方</w:t>
      </w:r>
      <w:r>
        <w:rPr>
          <w:rFonts w:hint="eastAsia" w:ascii="宋体" w:hAnsi="宋体" w:cs="宋体"/>
          <w:sz w:val="24"/>
          <w:highlight w:val="none"/>
          <w:lang w:eastAsia="zh-CN"/>
        </w:rPr>
        <w:t>）</w:t>
      </w:r>
    </w:p>
    <w:p w14:paraId="0CE957E0">
      <w:pPr>
        <w:pStyle w:val="41"/>
        <w:keepNext w:val="0"/>
        <w:keepLines w:val="0"/>
        <w:pageBreakBefore w:val="0"/>
        <w:kinsoku/>
        <w:wordWrap/>
        <w:overflowPunct/>
        <w:topLinePunct w:val="0"/>
        <w:autoSpaceDE/>
        <w:autoSpaceDN/>
        <w:bidi w:val="0"/>
        <w:adjustRightInd/>
        <w:spacing w:line="360" w:lineRule="auto"/>
        <w:ind w:left="0" w:leftChars="0" w:firstLine="0" w:firstLineChars="0"/>
        <w:jc w:val="left"/>
        <w:textAlignment w:val="auto"/>
        <w:rPr>
          <w:rFonts w:hint="eastAsia" w:ascii="宋体" w:hAnsi="宋体" w:eastAsia="宋体" w:cs="宋体"/>
          <w:sz w:val="24"/>
          <w:highlight w:val="none"/>
        </w:rPr>
      </w:pPr>
    </w:p>
    <w:p w14:paraId="07B5C37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分包工程范围：</w:t>
      </w:r>
      <w:permStart w:id="51" w:edGrp="everyone"/>
      <w:r>
        <w:rPr>
          <w:rFonts w:hint="eastAsia" w:ascii="宋体" w:hAnsi="宋体" w:cs="宋体"/>
          <w:sz w:val="24"/>
          <w:highlight w:val="none"/>
          <w:lang w:eastAsia="zh-CN"/>
        </w:rPr>
        <w:t>浙石化2025炼油芳烃事业部大修(1#气提、2#硫磺、4#硫磺)项目隐患消缺中补焊及管道技改</w:t>
      </w:r>
      <w:r>
        <w:rPr>
          <w:rFonts w:hint="eastAsia" w:ascii="宋体" w:hAnsi="宋体" w:cs="宋体"/>
          <w:sz w:val="24"/>
          <w:highlight w:val="none"/>
          <w:lang w:val="en-US" w:eastAsia="zh-CN"/>
        </w:rPr>
        <w:t>等</w:t>
      </w:r>
      <w:r>
        <w:rPr>
          <w:rFonts w:hint="eastAsia" w:ascii="宋体" w:hAnsi="宋体" w:cs="宋体"/>
          <w:sz w:val="24"/>
          <w:highlight w:val="none"/>
          <w:lang w:eastAsia="zh-CN"/>
        </w:rPr>
        <w:t>施工内容</w:t>
      </w:r>
      <w:permEnd w:id="51"/>
      <w:r>
        <w:rPr>
          <w:rFonts w:hint="eastAsia" w:ascii="宋体" w:hAnsi="宋体" w:eastAsia="宋体" w:cs="宋体"/>
          <w:sz w:val="24"/>
          <w:highlight w:val="none"/>
          <w:u w:val="single"/>
        </w:rPr>
        <w:t>，做好施工班组的组织、考勤及技能培训等相关工作，分包人保证组织的班组人员能满足施工进度、质量及安全的需求。</w:t>
      </w:r>
    </w:p>
    <w:p w14:paraId="7E851AC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为了贯彻落实“安全第一、预防为主”的安全生产指导思想，严格执行相关的劳动保护和安全生产的法律、法规，强化安全生产管理，落实安全生产责任制，确保项目施工中操作人员的安全与健康，促进施工顺利进行，特签订本协议。</w:t>
      </w:r>
    </w:p>
    <w:p w14:paraId="55BD601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一、安全生产方面甲方的责任与义务</w:t>
      </w:r>
    </w:p>
    <w:p w14:paraId="52922AB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1、贯彻落实有关施工现场安全生产、文明施工的法规和管理规定。</w:t>
      </w:r>
    </w:p>
    <w:p w14:paraId="227FC18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2、协助乙方了解甲方有关安全生产的规章制度，协助乙方解决施工过程中碰到的各种涉及安全的问题。把乙方安全生产管理工作纳入甲方统一的安全管理体系之中。</w:t>
      </w:r>
    </w:p>
    <w:p w14:paraId="176F665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3、甲方协助乙方对进场的人员组织进行入场安全教育和经常性安全教育，并检查乙方班组级安全教育情况。</w:t>
      </w:r>
    </w:p>
    <w:p w14:paraId="53EA09F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4、甲方负责审核乙方的安全技术措施和各种专项施工方案，并监督检查其落实情况。</w:t>
      </w:r>
    </w:p>
    <w:p w14:paraId="3FEA87E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5、甲方有权随时检查安全技术交底执行情况。</w:t>
      </w:r>
    </w:p>
    <w:p w14:paraId="2B23601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6、乙方的机械设备、脚手架材料、临时用电等设施，在搭设、安装完毕交付使用前，甲方有责任配合乙方按规定进行验收，并在验收合格后方可使用，严禁在未经验收或验收不合格的情况下投入使用。</w:t>
      </w:r>
    </w:p>
    <w:p w14:paraId="0465106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7、甲方有权要求乙方立刻撤走现场内不遵守、执行安全生产法律法规、标准、操作规程、安全条例和指令的人员，无论在任何情况下，此人不得再雇佣于现场。</w:t>
      </w:r>
    </w:p>
    <w:p w14:paraId="23EA18C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8、对不符合安全规定的，甲方安全管理人员有权要求停工，整改合格后方可继续施工。</w:t>
      </w:r>
    </w:p>
    <w:p w14:paraId="35EE79F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9、乙方违反安全生产、治安、消防、文明施工规定的行为，甲方依据相关规定有权对乙方进行经济处罚。</w:t>
      </w:r>
    </w:p>
    <w:p w14:paraId="5A16EB4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二、安全生产方面乙方的责任与义务</w:t>
      </w:r>
    </w:p>
    <w:p w14:paraId="29A5071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1、乙方必须贯彻执行安全生产、劳动保护、消防、食品安全的法律法规、条例、规定；遵守甲方的安全生产管理制度、规定及要求，并积极参加各种有关促进安全生产的各项活动。</w:t>
      </w:r>
    </w:p>
    <w:p w14:paraId="00F18FC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2、乙方应按有关规定，采取严格的安全防护措施。由于未执行安全生产的法律法规、规章制度或自身安全措施不力而造成事故的责任和因此而发生的费用由乙方承担。非分包方责任的伤亡事故，由责任方承担责任和有关费用。</w:t>
      </w:r>
    </w:p>
    <w:p w14:paraId="1CD4399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sz w:val="24"/>
          <w:highlight w:val="none"/>
          <w:lang w:eastAsia="zh-CN"/>
        </w:rPr>
        <w:t>、</w:t>
      </w:r>
      <w:r>
        <w:rPr>
          <w:rFonts w:hint="eastAsia" w:ascii="宋体" w:hAnsi="宋体" w:eastAsia="宋体" w:cs="宋体"/>
          <w:sz w:val="24"/>
          <w:highlight w:val="none"/>
        </w:rPr>
        <w:t>乙方要服从甲方的安全生产管理。乙方的负责人必须对本单位人员进行安全教育，以增强安全意识及自我保护能力，自觉遵守安全生产制度。</w:t>
      </w:r>
    </w:p>
    <w:p w14:paraId="1906014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4、乙方必须认真贯彻执行有关的施工安全技术措施、专项施工方案、分部分项、分工种施工安全技术交底要求，并检查施工人员落实情况。乙方应进行了经常性的督促、指导，确保施工安全。</w:t>
      </w:r>
    </w:p>
    <w:p w14:paraId="61038C2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5、乙方应落实甲方对生活区域的消防、治安、食品安全方面的各项安全规定及要求。对生活区的消防、治安、食品安全等方面的工作负责。应经常检查督促本单位人员自觉做好各方面工作。</w:t>
      </w:r>
    </w:p>
    <w:p w14:paraId="521D4B6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6、乙方应按规定，认真开展班组班前安全活动。参加安全教育活动，以及安全、防火、生活卫生等检查，并及时对事故隐患进行整改。</w:t>
      </w:r>
    </w:p>
    <w:p w14:paraId="64F1FB4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7、乙方人员入场一律接受安全教育培训，考试合格后方准进入现场施工。如果乙方的人员有变动，必须提出计划报告甲方，按规定进行教育、考核合格后方可上岗。</w:t>
      </w:r>
    </w:p>
    <w:p w14:paraId="6C0827B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8、乙方的特种作业人员的配置必须满足施工需要，特种作业人员必须持特种操作证方可上岗。</w:t>
      </w:r>
    </w:p>
    <w:p w14:paraId="3E8E5B4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9、乙方在施工期间必须自觉接受甲方的检查、督促和指导。</w:t>
      </w:r>
    </w:p>
    <w:p w14:paraId="4ECC0C2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10、乙方必须配备专职安全生产管理人员。必须每日上班前对作业环境、设施设备的安全状态进行认真的检查，对检查发现的事故隐患，应及时上报甲方安全管理人员，整改合格后方可作业。</w:t>
      </w:r>
    </w:p>
    <w:p w14:paraId="038F999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11、乙方的负责人和专职安全管理人员应在作业过程中巡视检查，随时纠正违章行为。下班前对作业中使用的设施设备进行检查，确认机电拉闸断电箱门上锁，用火熄灭，活完料净场地清等情况无误后方准离开现场。</w:t>
      </w:r>
    </w:p>
    <w:p w14:paraId="5602DD5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12、乙方必须严格执行检查整改消项制度。</w:t>
      </w:r>
    </w:p>
    <w:p w14:paraId="4793FCC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13、乙方必须执行安全防护设施、设备验收制度和施工作业转换后的交接检验制度；</w:t>
      </w:r>
    </w:p>
    <w:p w14:paraId="7D708AB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14、乙方配备的各类施工机械设备，必须是合格产品，且机械性能良好、各种安全防护装置齐全、灵敏、可靠。</w:t>
      </w:r>
    </w:p>
    <w:p w14:paraId="3C4F9ED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15、乙方负责提供的劳动防护用品必须是合格产品。对个人劳动防护用品如：安全帽、安全带、面罩、眼罩、护耳、绝缘手套、绝缘鞋等定期定量供应，并建立劳动防护用品采购、发放记录。</w:t>
      </w:r>
    </w:p>
    <w:p w14:paraId="07F8D8F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16、发生生产安全事故时，乙方必须及时向甲方报告。同时参加抢救工作，采取相应的措施保护好现场。乙方要积极配合甲方上级部门、政府部门对事故的调查和现场勘查。凡因乙方隐瞒不报、做伪证或擅自拆毁事故现场，所造成的一切后果均由乙方承担。</w:t>
      </w:r>
    </w:p>
    <w:p w14:paraId="77440D9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17、如果发生因工伤亡事故，乙方应积极配合甲方做好事故的善后处理工作。乙方应直接负责伤亡者家属的接待和善后工作，因此发生的费用由乙方先行支付，待事故调查清楚后由责任方支付。</w:t>
      </w:r>
    </w:p>
    <w:p w14:paraId="622BD32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cs="宋体"/>
          <w:sz w:val="24"/>
          <w:highlight w:val="none"/>
          <w:lang w:eastAsia="zh-CN"/>
        </w:rPr>
        <w:t>19</w:t>
      </w:r>
      <w:r>
        <w:rPr>
          <w:rFonts w:hint="eastAsia" w:ascii="宋体" w:hAnsi="宋体" w:eastAsia="宋体" w:cs="宋体"/>
          <w:sz w:val="24"/>
          <w:highlight w:val="none"/>
        </w:rPr>
        <w:t>、乙方有责任教育和约束自己的职工严格遵守施工现场安全管理规定，对遵章守纪者给予表扬和奖励，对违章作业、违章指挥、违反劳动纪律和规章制度者给予处罚。</w:t>
      </w:r>
    </w:p>
    <w:p w14:paraId="06292B9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19、乙方应对其人员加强教育，防止其劳务人员发生任何违法或妨碍治安的行为，保持安定局面。并且保护工程周围人员和财产不受上述行为的危害，否则由此造成的一切损失和费用均由乙方自己负责。</w:t>
      </w:r>
    </w:p>
    <w:p w14:paraId="1C2D4FD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20、乙方必须按照有关要求，采取有效的防扰民、防噪声、防空气污染、防道路遗洒和垃圾清运等措施。</w:t>
      </w:r>
    </w:p>
    <w:p w14:paraId="634FC14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三、消防工作甲乙双方的责任与义务：</w:t>
      </w:r>
    </w:p>
    <w:p w14:paraId="28F60F3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1、甲、乙双方必须认真遵守有关的消防安全管理规定及条例。</w:t>
      </w:r>
    </w:p>
    <w:p w14:paraId="5F20B8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2、甲方有权监督检查乙方的施工现场、生活区的消防安全措施及消防安全管理制度的落实情况，对存在的事故隐患及时签发事故隐患通知书，责令乙方进行整改，未按要求进行整改的，甲方有权按规定对乙方进行经济处罚。</w:t>
      </w:r>
    </w:p>
    <w:p w14:paraId="77D6CF9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3、乙方应严格按甲方消防管理制度的要求建立义务消防队，负责现场初期火灾的扑救工作。</w:t>
      </w:r>
    </w:p>
    <w:p w14:paraId="0F0B575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四</w:t>
      </w:r>
      <w:r>
        <w:rPr>
          <w:rFonts w:hint="eastAsia" w:ascii="宋体" w:hAnsi="宋体" w:eastAsia="宋体" w:cs="宋体"/>
          <w:sz w:val="24"/>
          <w:highlight w:val="none"/>
        </w:rPr>
        <w:t>、实行安全保证制度</w:t>
      </w:r>
    </w:p>
    <w:p w14:paraId="5973F14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经甲乙双方协商确定，乙方同意将合同价2.5％预留（在进度款中预留</w:t>
      </w:r>
      <w:r>
        <w:rPr>
          <w:rFonts w:hint="eastAsia" w:ascii="宋体" w:hAnsi="宋体" w:cs="宋体"/>
          <w:sz w:val="24"/>
          <w:highlight w:val="none"/>
          <w:lang w:eastAsia="zh-CN"/>
        </w:rPr>
        <w:t>）</w:t>
      </w:r>
      <w:r>
        <w:rPr>
          <w:rFonts w:hint="eastAsia" w:ascii="宋体" w:hAnsi="宋体" w:eastAsia="宋体" w:cs="宋体"/>
          <w:sz w:val="24"/>
          <w:highlight w:val="none"/>
        </w:rPr>
        <w:t>，作为发生伤亡事故和违章罚款的押金。</w:t>
      </w:r>
    </w:p>
    <w:p w14:paraId="1E4212B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分包工程（或劳务施工班组</w:t>
      </w:r>
      <w:r>
        <w:rPr>
          <w:rFonts w:hint="eastAsia" w:ascii="宋体" w:hAnsi="宋体" w:cs="宋体"/>
          <w:sz w:val="24"/>
          <w:highlight w:val="none"/>
          <w:lang w:eastAsia="zh-CN"/>
        </w:rPr>
        <w:t>）</w:t>
      </w:r>
      <w:r>
        <w:rPr>
          <w:rFonts w:hint="eastAsia" w:ascii="宋体" w:hAnsi="宋体" w:eastAsia="宋体" w:cs="宋体"/>
          <w:sz w:val="24"/>
          <w:highlight w:val="none"/>
        </w:rPr>
        <w:t>完成任务后由项目部组织考核，报经所在单位安全管理部门确认，未发生安全生产责任事故和违章违规罚款的，安全风险抵押金全额退还；如发生安全生产责任事故的全额扣缴；有违章违规罚款的扣除罚款后返还剩余部分。</w:t>
      </w:r>
    </w:p>
    <w:p w14:paraId="34CEF89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五</w:t>
      </w:r>
      <w:r>
        <w:rPr>
          <w:rFonts w:hint="eastAsia" w:ascii="宋体" w:hAnsi="宋体" w:eastAsia="宋体" w:cs="宋体"/>
          <w:sz w:val="24"/>
          <w:highlight w:val="none"/>
          <w:lang w:val="en-US" w:eastAsia="zh-CN"/>
        </w:rPr>
        <w:t>、工程（劳务）分包项目安全目标任务：</w:t>
      </w:r>
    </w:p>
    <w:p w14:paraId="6483127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1、重伤、死亡责任事故为零；杜绝重大火灾事故、重大设备事故；</w:t>
      </w:r>
    </w:p>
    <w:p w14:paraId="3BA4F4C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2、轻伤事故频率控制在16‰以内；</w:t>
      </w:r>
    </w:p>
    <w:p w14:paraId="162C0E3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3、施工项目安全竣工考评100%合格，完成集团公司下达的安全生产标准化优良项目年度指标。无因安全生产、文明施工管理不到位而被设区市及以上建设行业主管部门通报或处罚；</w:t>
      </w:r>
    </w:p>
    <w:p w14:paraId="5A98DB9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4、落实省市行业主管部门及集团施工安全生产标准化措施，保证安全隐患整改落实。</w:t>
      </w:r>
    </w:p>
    <w:p w14:paraId="06F57D6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六</w:t>
      </w:r>
      <w:r>
        <w:rPr>
          <w:rFonts w:hint="eastAsia" w:ascii="宋体" w:hAnsi="宋体" w:eastAsia="宋体" w:cs="宋体"/>
          <w:sz w:val="24"/>
          <w:highlight w:val="none"/>
          <w:lang w:val="en-US" w:eastAsia="zh-CN"/>
        </w:rPr>
        <w:t>、奖惩办法</w:t>
      </w:r>
    </w:p>
    <w:p w14:paraId="35E2AC9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安全生产奖惩办法按甲方《公司全员安全奖管理办法》、《安全生产奖惩实施细则》规定执行。</w:t>
      </w:r>
    </w:p>
    <w:p w14:paraId="2BE9355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cs="宋体"/>
          <w:sz w:val="24"/>
          <w:highlight w:val="none"/>
          <w:lang w:val="en-US" w:eastAsia="zh-CN"/>
        </w:rPr>
        <w:t>七</w:t>
      </w:r>
      <w:r>
        <w:rPr>
          <w:rFonts w:hint="eastAsia" w:ascii="宋体" w:hAnsi="宋体" w:eastAsia="宋体" w:cs="宋体"/>
          <w:sz w:val="24"/>
          <w:highlight w:val="none"/>
        </w:rPr>
        <w:t>、安全管理协议书的份数</w:t>
      </w:r>
    </w:p>
    <w:p w14:paraId="6BE421C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本协议书</w:t>
      </w:r>
      <w:r>
        <w:rPr>
          <w:rFonts w:hint="eastAsia" w:ascii="宋体" w:hAnsi="宋体" w:cs="宋体"/>
          <w:sz w:val="24"/>
          <w:highlight w:val="none"/>
          <w:lang w:val="en-US" w:eastAsia="zh-CN"/>
        </w:rPr>
        <w:t>随合同</w:t>
      </w:r>
      <w:r>
        <w:rPr>
          <w:rFonts w:hint="eastAsia" w:ascii="宋体" w:hAnsi="宋体" w:eastAsia="宋体" w:cs="宋体"/>
          <w:sz w:val="24"/>
          <w:highlight w:val="none"/>
        </w:rPr>
        <w:t>一式</w:t>
      </w:r>
      <w:r>
        <w:rPr>
          <w:rFonts w:hint="eastAsia" w:ascii="宋体" w:hAnsi="宋体" w:cs="宋体"/>
          <w:sz w:val="24"/>
          <w:highlight w:val="none"/>
          <w:lang w:val="en-US" w:eastAsia="zh-CN"/>
        </w:rPr>
        <w:t>肆</w:t>
      </w:r>
      <w:r>
        <w:rPr>
          <w:rFonts w:hint="eastAsia" w:ascii="宋体" w:hAnsi="宋体" w:eastAsia="宋体" w:cs="宋体"/>
          <w:sz w:val="24"/>
          <w:highlight w:val="none"/>
        </w:rPr>
        <w:t>份，由</w:t>
      </w:r>
      <w:r>
        <w:rPr>
          <w:rFonts w:hint="eastAsia" w:ascii="宋体" w:hAnsi="宋体" w:cs="宋体"/>
          <w:sz w:val="24"/>
          <w:highlight w:val="none"/>
          <w:lang w:val="en-US" w:eastAsia="zh-CN"/>
        </w:rPr>
        <w:t>甲方执叁</w:t>
      </w:r>
      <w:r>
        <w:rPr>
          <w:rFonts w:hint="eastAsia" w:ascii="宋体" w:hAnsi="宋体" w:eastAsia="宋体" w:cs="宋体"/>
          <w:sz w:val="24"/>
          <w:highlight w:val="none"/>
        </w:rPr>
        <w:t>份，</w:t>
      </w:r>
      <w:r>
        <w:rPr>
          <w:rFonts w:hint="eastAsia" w:ascii="宋体" w:hAnsi="宋体" w:cs="宋体"/>
          <w:sz w:val="24"/>
          <w:highlight w:val="none"/>
          <w:lang w:val="en-US" w:eastAsia="zh-CN"/>
        </w:rPr>
        <w:t>乙方执壹份</w:t>
      </w:r>
      <w:r>
        <w:rPr>
          <w:rFonts w:hint="eastAsia" w:ascii="宋体" w:hAnsi="宋体" w:eastAsia="宋体" w:cs="宋体"/>
          <w:sz w:val="24"/>
          <w:highlight w:val="none"/>
        </w:rPr>
        <w:t>。</w:t>
      </w:r>
    </w:p>
    <w:p w14:paraId="2397F18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八</w:t>
      </w:r>
      <w:r>
        <w:rPr>
          <w:rFonts w:hint="eastAsia" w:ascii="宋体" w:hAnsi="宋体" w:eastAsia="宋体" w:cs="宋体"/>
          <w:sz w:val="24"/>
          <w:highlight w:val="none"/>
          <w:lang w:val="en-US" w:eastAsia="zh-CN"/>
        </w:rPr>
        <w:t>、有效期</w:t>
      </w:r>
    </w:p>
    <w:p w14:paraId="1DDA8D2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本协议书自签字（盖章</w:t>
      </w:r>
      <w:r>
        <w:rPr>
          <w:rFonts w:hint="eastAsia" w:ascii="宋体" w:hAnsi="宋体" w:cs="宋体"/>
          <w:sz w:val="24"/>
          <w:highlight w:val="none"/>
          <w:lang w:val="en-US" w:eastAsia="zh-CN"/>
        </w:rPr>
        <w:t>）</w:t>
      </w:r>
      <w:r>
        <w:rPr>
          <w:rFonts w:hint="eastAsia" w:ascii="宋体" w:hAnsi="宋体" w:eastAsia="宋体" w:cs="宋体"/>
          <w:sz w:val="24"/>
          <w:highlight w:val="none"/>
          <w:lang w:val="en-US" w:eastAsia="zh-CN"/>
        </w:rPr>
        <w:t>之日起生效，待工程竣工自行解除。</w:t>
      </w:r>
    </w:p>
    <w:p w14:paraId="4F75036C">
      <w:pPr>
        <w:keepNext w:val="0"/>
        <w:keepLines w:val="0"/>
        <w:pageBreakBefore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宋体"/>
          <w:sz w:val="24"/>
          <w:highlight w:val="none"/>
        </w:rPr>
      </w:pPr>
    </w:p>
    <w:p w14:paraId="5D3CDAF1">
      <w:pPr>
        <w:keepNext w:val="0"/>
        <w:keepLines w:val="0"/>
        <w:pageBreakBefore w:val="0"/>
        <w:kinsoku/>
        <w:wordWrap/>
        <w:overflowPunct/>
        <w:topLinePunct w:val="0"/>
        <w:autoSpaceDE/>
        <w:autoSpaceDN/>
        <w:bidi w:val="0"/>
        <w:adjustRightInd/>
        <w:snapToGrid w:val="0"/>
        <w:spacing w:line="480" w:lineRule="auto"/>
        <w:ind w:firstLine="0" w:firstLineChars="0"/>
        <w:jc w:val="left"/>
        <w:textAlignment w:val="auto"/>
        <w:rPr>
          <w:rFonts w:hint="eastAsia" w:ascii="宋体" w:hAnsi="宋体" w:eastAsia="宋体" w:cs="宋体"/>
          <w:sz w:val="24"/>
          <w:highlight w:val="none"/>
        </w:rPr>
      </w:pPr>
    </w:p>
    <w:p w14:paraId="335FA462">
      <w:pPr>
        <w:keepNext w:val="0"/>
        <w:keepLines w:val="0"/>
        <w:pageBreakBefore w:val="0"/>
        <w:kinsoku/>
        <w:wordWrap/>
        <w:overflowPunct/>
        <w:topLinePunct w:val="0"/>
        <w:autoSpaceDE/>
        <w:autoSpaceDN/>
        <w:bidi w:val="0"/>
        <w:adjustRightInd/>
        <w:snapToGrid w:val="0"/>
        <w:spacing w:line="480" w:lineRule="auto"/>
        <w:ind w:firstLine="0" w:firstLineChars="0"/>
        <w:jc w:val="left"/>
        <w:textAlignment w:val="auto"/>
        <w:rPr>
          <w:rFonts w:hint="eastAsia" w:ascii="宋体" w:hAnsi="宋体" w:eastAsia="宋体" w:cs="宋体"/>
          <w:sz w:val="24"/>
          <w:highlight w:val="none"/>
        </w:rPr>
      </w:pPr>
      <w:r>
        <w:rPr>
          <w:rFonts w:hint="eastAsia" w:ascii="宋体" w:hAnsi="宋体" w:eastAsia="宋体" w:cs="宋体"/>
          <w:sz w:val="24"/>
          <w:highlight w:val="none"/>
        </w:rPr>
        <w:t>甲方（总包方盖章</w:t>
      </w:r>
      <w:r>
        <w:rPr>
          <w:rFonts w:hint="eastAsia" w:ascii="宋体" w:hAnsi="宋体" w:cs="宋体"/>
          <w:sz w:val="24"/>
          <w:highlight w:val="none"/>
          <w:lang w:eastAsia="zh-CN"/>
        </w:rPr>
        <w:t>）</w:t>
      </w:r>
      <w:r>
        <w:rPr>
          <w:rFonts w:hint="eastAsia" w:ascii="宋体" w:hAnsi="宋体" w:eastAsia="宋体" w:cs="宋体"/>
          <w:sz w:val="24"/>
          <w:highlight w:val="none"/>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乙方（分包方盖章</w:t>
      </w:r>
      <w:r>
        <w:rPr>
          <w:rFonts w:hint="eastAsia" w:ascii="宋体" w:hAnsi="宋体" w:cs="宋体"/>
          <w:sz w:val="24"/>
          <w:highlight w:val="none"/>
          <w:lang w:eastAsia="zh-CN"/>
        </w:rPr>
        <w:t>）</w:t>
      </w:r>
      <w:r>
        <w:rPr>
          <w:rFonts w:hint="eastAsia" w:ascii="宋体" w:hAnsi="宋体" w:eastAsia="宋体" w:cs="宋体"/>
          <w:sz w:val="24"/>
          <w:highlight w:val="none"/>
        </w:rPr>
        <w:t>：</w:t>
      </w:r>
    </w:p>
    <w:p w14:paraId="36C46CDF">
      <w:pPr>
        <w:keepNext w:val="0"/>
        <w:keepLines w:val="0"/>
        <w:pageBreakBefore w:val="0"/>
        <w:kinsoku/>
        <w:wordWrap/>
        <w:overflowPunct/>
        <w:topLinePunct w:val="0"/>
        <w:autoSpaceDE/>
        <w:autoSpaceDN/>
        <w:bidi w:val="0"/>
        <w:adjustRightInd/>
        <w:snapToGrid w:val="0"/>
        <w:spacing w:line="480" w:lineRule="auto"/>
        <w:ind w:firstLine="0" w:firstLineChars="0"/>
        <w:jc w:val="left"/>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福建省工业设备安装有限公司</w:t>
      </w:r>
    </w:p>
    <w:p w14:paraId="772B897F">
      <w:pPr>
        <w:keepNext w:val="0"/>
        <w:keepLines w:val="0"/>
        <w:pageBreakBefore w:val="0"/>
        <w:kinsoku/>
        <w:wordWrap/>
        <w:overflowPunct/>
        <w:topLinePunct w:val="0"/>
        <w:autoSpaceDE/>
        <w:autoSpaceDN/>
        <w:bidi w:val="0"/>
        <w:adjustRightInd/>
        <w:snapToGrid w:val="0"/>
        <w:spacing w:line="480" w:lineRule="auto"/>
        <w:ind w:firstLine="0" w:firstLineChars="0"/>
        <w:jc w:val="left"/>
        <w:textAlignment w:val="auto"/>
        <w:rPr>
          <w:rFonts w:hint="eastAsia" w:ascii="宋体" w:hAnsi="宋体" w:eastAsia="宋体" w:cs="宋体"/>
          <w:sz w:val="24"/>
          <w:highlight w:val="none"/>
        </w:rPr>
      </w:pPr>
      <w:r>
        <w:rPr>
          <w:rFonts w:hint="eastAsia" w:ascii="宋体" w:hAnsi="宋体" w:eastAsia="宋体" w:cs="宋体"/>
          <w:sz w:val="24"/>
          <w:highlight w:val="none"/>
        </w:rPr>
        <w:t>法定代表人或委托代理人（签字</w:t>
      </w:r>
      <w:r>
        <w:rPr>
          <w:rFonts w:hint="eastAsia" w:ascii="宋体" w:hAnsi="宋体" w:cs="宋体"/>
          <w:sz w:val="24"/>
          <w:highlight w:val="none"/>
          <w:lang w:eastAsia="zh-CN"/>
        </w:rPr>
        <w:t>）</w:t>
      </w:r>
      <w:r>
        <w:rPr>
          <w:rFonts w:hint="eastAsia" w:ascii="宋体" w:hAnsi="宋体" w:eastAsia="宋体" w:cs="宋体"/>
          <w:sz w:val="24"/>
          <w:highlight w:val="none"/>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法定代表人或委托代理人（签字</w:t>
      </w:r>
      <w:r>
        <w:rPr>
          <w:rFonts w:hint="eastAsia" w:ascii="宋体" w:hAnsi="宋体" w:cs="宋体"/>
          <w:sz w:val="24"/>
          <w:highlight w:val="none"/>
          <w:lang w:eastAsia="zh-CN"/>
        </w:rPr>
        <w:t>）</w:t>
      </w:r>
      <w:r>
        <w:rPr>
          <w:rFonts w:hint="eastAsia" w:ascii="宋体" w:hAnsi="宋体" w:eastAsia="宋体" w:cs="宋体"/>
          <w:sz w:val="24"/>
          <w:highlight w:val="none"/>
        </w:rPr>
        <w:t>：</w:t>
      </w:r>
    </w:p>
    <w:p w14:paraId="33B3B4FD">
      <w:pPr>
        <w:keepNext w:val="0"/>
        <w:keepLines w:val="0"/>
        <w:pageBreakBefore w:val="0"/>
        <w:kinsoku/>
        <w:wordWrap/>
        <w:overflowPunct/>
        <w:topLinePunct w:val="0"/>
        <w:autoSpaceDE/>
        <w:autoSpaceDN/>
        <w:bidi w:val="0"/>
        <w:adjustRightInd/>
        <w:snapToGrid w:val="0"/>
        <w:spacing w:line="480" w:lineRule="auto"/>
        <w:ind w:firstLine="0" w:firstLineChars="0"/>
        <w:jc w:val="left"/>
        <w:textAlignment w:val="auto"/>
        <w:rPr>
          <w:rFonts w:hint="eastAsia" w:ascii="宋体" w:hAnsi="宋体" w:eastAsia="宋体" w:cs="宋体"/>
          <w:sz w:val="24"/>
          <w:highlight w:val="none"/>
        </w:rPr>
      </w:pPr>
    </w:p>
    <w:p w14:paraId="60F617BF">
      <w:pPr>
        <w:keepNext w:val="0"/>
        <w:keepLines w:val="0"/>
        <w:pageBreakBefore w:val="0"/>
        <w:kinsoku/>
        <w:wordWrap/>
        <w:overflowPunct/>
        <w:topLinePunct w:val="0"/>
        <w:autoSpaceDE/>
        <w:autoSpaceDN/>
        <w:bidi w:val="0"/>
        <w:adjustRightInd/>
        <w:snapToGrid w:val="0"/>
        <w:spacing w:line="480" w:lineRule="auto"/>
        <w:ind w:firstLine="1440" w:firstLineChars="6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日</w:t>
      </w:r>
      <w:r>
        <w:rPr>
          <w:rFonts w:hint="eastAsia" w:ascii="宋体" w:hAnsi="宋体" w:eastAsia="宋体" w:cs="宋体"/>
          <w:sz w:val="24"/>
          <w:highlight w:val="none"/>
          <w:lang w:val="en-US" w:eastAsia="zh-CN"/>
        </w:rPr>
        <w:t xml:space="preserve">                 </w:t>
      </w:r>
      <w:r>
        <w:rPr>
          <w:rFonts w:hint="eastAsia" w:ascii="宋体" w:hAnsi="宋体" w:cs="宋体"/>
          <w:sz w:val="24"/>
          <w:highlight w:val="none"/>
          <w:lang w:val="en-US" w:eastAsia="zh-CN"/>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日</w:t>
      </w:r>
    </w:p>
    <w:p w14:paraId="5FDC0ABB">
      <w:pP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br w:type="page"/>
      </w:r>
    </w:p>
    <w:p w14:paraId="085530CE">
      <w:pPr>
        <w:spacing w:line="340" w:lineRule="exact"/>
        <w:jc w:val="center"/>
        <w:rPr>
          <w:rFonts w:hint="eastAsia" w:ascii="宋体" w:hAnsi="宋体" w:eastAsia="宋体" w:cs="宋体"/>
          <w:sz w:val="24"/>
          <w:szCs w:val="24"/>
        </w:rPr>
      </w:pPr>
      <w:r>
        <w:rPr>
          <w:rFonts w:hint="eastAsia" w:ascii="宋体" w:hAnsi="宋体" w:eastAsia="宋体" w:cs="宋体"/>
          <w:b/>
          <w:sz w:val="28"/>
          <w:szCs w:val="28"/>
        </w:rPr>
        <w:t>安全生产违章违规行为处罚额度表</w:t>
      </w:r>
    </w:p>
    <w:p w14:paraId="78279F24">
      <w:pPr>
        <w:keepNext w:val="0"/>
        <w:keepLines w:val="0"/>
        <w:pageBreakBefore w:val="0"/>
        <w:kinsoku/>
        <w:wordWrap/>
        <w:overflowPunct/>
        <w:topLinePunct w:val="0"/>
        <w:autoSpaceDE/>
        <w:autoSpaceDN/>
        <w:bidi w:val="0"/>
        <w:adjustRightInd w:val="0"/>
        <w:snapToGrid w:val="0"/>
        <w:spacing w:line="240" w:lineRule="auto"/>
        <w:ind w:firstLine="7680" w:firstLineChars="3200"/>
        <w:textAlignment w:val="auto"/>
        <w:rPr>
          <w:rFonts w:hint="eastAsia" w:ascii="宋体" w:hAnsi="宋体" w:eastAsia="宋体" w:cs="宋体"/>
          <w:sz w:val="24"/>
          <w:szCs w:val="24"/>
        </w:rPr>
      </w:pPr>
    </w:p>
    <w:tbl>
      <w:tblPr>
        <w:tblStyle w:val="17"/>
        <w:tblW w:w="8814" w:type="dxa"/>
        <w:jc w:val="center"/>
        <w:tblLayout w:type="fixed"/>
        <w:tblCellMar>
          <w:top w:w="0" w:type="dxa"/>
          <w:left w:w="108" w:type="dxa"/>
          <w:bottom w:w="0" w:type="dxa"/>
          <w:right w:w="108" w:type="dxa"/>
        </w:tblCellMar>
      </w:tblPr>
      <w:tblGrid>
        <w:gridCol w:w="739"/>
        <w:gridCol w:w="4783"/>
        <w:gridCol w:w="3292"/>
      </w:tblGrid>
      <w:tr w14:paraId="16A9EFD1">
        <w:tblPrEx>
          <w:tblCellMar>
            <w:top w:w="0" w:type="dxa"/>
            <w:left w:w="108" w:type="dxa"/>
            <w:bottom w:w="0" w:type="dxa"/>
            <w:right w:w="108" w:type="dxa"/>
          </w:tblCellMar>
        </w:tblPrEx>
        <w:trPr>
          <w:trHeight w:val="454" w:hRule="atLeast"/>
          <w:tblHeader/>
          <w:jc w:val="center"/>
        </w:trPr>
        <w:tc>
          <w:tcPr>
            <w:tcW w:w="739" w:type="dxa"/>
            <w:tcBorders>
              <w:top w:val="single" w:color="auto" w:sz="4" w:space="0"/>
              <w:left w:val="single" w:color="auto" w:sz="4" w:space="0"/>
              <w:bottom w:val="single" w:color="auto" w:sz="4" w:space="0"/>
              <w:right w:val="single" w:color="auto" w:sz="4" w:space="0"/>
            </w:tcBorders>
            <w:vAlign w:val="center"/>
          </w:tcPr>
          <w:p w14:paraId="5A35B1B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4783" w:type="dxa"/>
            <w:tcBorders>
              <w:top w:val="single" w:color="auto" w:sz="4" w:space="0"/>
              <w:left w:val="nil"/>
              <w:bottom w:val="single" w:color="auto" w:sz="4" w:space="0"/>
              <w:right w:val="single" w:color="auto" w:sz="4" w:space="0"/>
            </w:tcBorders>
            <w:vAlign w:val="center"/>
          </w:tcPr>
          <w:p w14:paraId="279336F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考核项目</w:t>
            </w:r>
          </w:p>
        </w:tc>
        <w:tc>
          <w:tcPr>
            <w:tcW w:w="3292" w:type="dxa"/>
            <w:tcBorders>
              <w:top w:val="single" w:color="auto" w:sz="4" w:space="0"/>
              <w:left w:val="nil"/>
              <w:bottom w:val="single" w:color="auto" w:sz="4" w:space="0"/>
              <w:right w:val="single" w:color="auto" w:sz="4" w:space="0"/>
            </w:tcBorders>
            <w:vAlign w:val="center"/>
          </w:tcPr>
          <w:p w14:paraId="7636793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考核标准</w:t>
            </w:r>
          </w:p>
        </w:tc>
      </w:tr>
      <w:tr w14:paraId="52524CC9">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438F529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一</w:t>
            </w:r>
          </w:p>
        </w:tc>
        <w:tc>
          <w:tcPr>
            <w:tcW w:w="8075" w:type="dxa"/>
            <w:gridSpan w:val="2"/>
            <w:tcBorders>
              <w:top w:val="nil"/>
              <w:left w:val="nil"/>
              <w:bottom w:val="single" w:color="auto" w:sz="4" w:space="0"/>
              <w:right w:val="single" w:color="auto" w:sz="4" w:space="0"/>
            </w:tcBorders>
            <w:vAlign w:val="center"/>
          </w:tcPr>
          <w:p w14:paraId="7E708FBD">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安全目标考核</w:t>
            </w:r>
          </w:p>
        </w:tc>
      </w:tr>
      <w:tr w14:paraId="645D8CFE">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75D0B24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783" w:type="dxa"/>
            <w:tcBorders>
              <w:top w:val="nil"/>
              <w:left w:val="nil"/>
              <w:bottom w:val="single" w:color="auto" w:sz="4" w:space="0"/>
              <w:right w:val="single" w:color="auto" w:sz="4" w:space="0"/>
            </w:tcBorders>
            <w:vAlign w:val="center"/>
          </w:tcPr>
          <w:p w14:paraId="64F2C850">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乙方发生责任性人身死亡事件。</w:t>
            </w:r>
          </w:p>
        </w:tc>
        <w:tc>
          <w:tcPr>
            <w:tcW w:w="3292" w:type="dxa"/>
            <w:tcBorders>
              <w:top w:val="nil"/>
              <w:left w:val="nil"/>
              <w:bottom w:val="single" w:color="auto" w:sz="4" w:space="0"/>
              <w:right w:val="single" w:color="auto" w:sz="4" w:space="0"/>
            </w:tcBorders>
            <w:vAlign w:val="center"/>
          </w:tcPr>
          <w:p w14:paraId="03456035">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乙方除接受政府主管部门的处罚和承担死者善后费用外，甲方对乙方另按每死亡一人不低于10万元的标准进行处罚。</w:t>
            </w:r>
          </w:p>
        </w:tc>
      </w:tr>
      <w:tr w14:paraId="6951707C">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69059F9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4783" w:type="dxa"/>
            <w:tcBorders>
              <w:top w:val="nil"/>
              <w:left w:val="nil"/>
              <w:bottom w:val="single" w:color="auto" w:sz="4" w:space="0"/>
              <w:right w:val="single" w:color="auto" w:sz="4" w:space="0"/>
            </w:tcBorders>
            <w:vAlign w:val="center"/>
          </w:tcPr>
          <w:p w14:paraId="22A178C5">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乙方发生责任性重伤事故。</w:t>
            </w:r>
          </w:p>
        </w:tc>
        <w:tc>
          <w:tcPr>
            <w:tcW w:w="3292" w:type="dxa"/>
            <w:tcBorders>
              <w:top w:val="nil"/>
              <w:left w:val="nil"/>
              <w:bottom w:val="single" w:color="auto" w:sz="4" w:space="0"/>
              <w:right w:val="single" w:color="auto" w:sz="4" w:space="0"/>
            </w:tcBorders>
            <w:vAlign w:val="center"/>
          </w:tcPr>
          <w:p w14:paraId="183DB322">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考核3万-5万元/人·次。</w:t>
            </w:r>
          </w:p>
        </w:tc>
      </w:tr>
      <w:tr w14:paraId="3ACD2FC2">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7F869AB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4783" w:type="dxa"/>
            <w:tcBorders>
              <w:top w:val="nil"/>
              <w:left w:val="nil"/>
              <w:bottom w:val="single" w:color="auto" w:sz="4" w:space="0"/>
              <w:right w:val="single" w:color="auto" w:sz="4" w:space="0"/>
            </w:tcBorders>
            <w:vAlign w:val="center"/>
          </w:tcPr>
          <w:p w14:paraId="425DC72E">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乙方发生责任性人身轻伤事故。</w:t>
            </w:r>
          </w:p>
        </w:tc>
        <w:tc>
          <w:tcPr>
            <w:tcW w:w="3292" w:type="dxa"/>
            <w:tcBorders>
              <w:top w:val="nil"/>
              <w:left w:val="nil"/>
              <w:bottom w:val="single" w:color="auto" w:sz="4" w:space="0"/>
              <w:right w:val="single" w:color="auto" w:sz="4" w:space="0"/>
            </w:tcBorders>
            <w:vAlign w:val="center"/>
          </w:tcPr>
          <w:p w14:paraId="5430D239">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考核1万-2万元/人·次。</w:t>
            </w:r>
          </w:p>
        </w:tc>
      </w:tr>
      <w:tr w14:paraId="77FBD6B6">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652DDB5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4783" w:type="dxa"/>
            <w:tcBorders>
              <w:top w:val="nil"/>
              <w:left w:val="nil"/>
              <w:bottom w:val="single" w:color="auto" w:sz="4" w:space="0"/>
              <w:right w:val="single" w:color="auto" w:sz="4" w:space="0"/>
            </w:tcBorders>
            <w:vAlign w:val="center"/>
          </w:tcPr>
          <w:p w14:paraId="0D1BD220">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乙方发生责任性人身未遂事件。</w:t>
            </w:r>
          </w:p>
        </w:tc>
        <w:tc>
          <w:tcPr>
            <w:tcW w:w="3292" w:type="dxa"/>
            <w:tcBorders>
              <w:top w:val="nil"/>
              <w:left w:val="nil"/>
              <w:bottom w:val="single" w:color="auto" w:sz="4" w:space="0"/>
              <w:right w:val="single" w:color="auto" w:sz="4" w:space="0"/>
            </w:tcBorders>
            <w:vAlign w:val="center"/>
          </w:tcPr>
          <w:p w14:paraId="3901B233">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考核3000元-5000元/次。</w:t>
            </w:r>
          </w:p>
        </w:tc>
      </w:tr>
      <w:tr w14:paraId="345B5AA8">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2771893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4783" w:type="dxa"/>
            <w:tcBorders>
              <w:top w:val="nil"/>
              <w:left w:val="nil"/>
              <w:bottom w:val="single" w:color="auto" w:sz="4" w:space="0"/>
              <w:right w:val="single" w:color="auto" w:sz="4" w:space="0"/>
            </w:tcBorders>
            <w:vAlign w:val="center"/>
          </w:tcPr>
          <w:p w14:paraId="2A742E19">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发生乙方责任导致的经济损失事故。</w:t>
            </w:r>
          </w:p>
        </w:tc>
        <w:tc>
          <w:tcPr>
            <w:tcW w:w="3292" w:type="dxa"/>
            <w:tcBorders>
              <w:top w:val="nil"/>
              <w:left w:val="nil"/>
              <w:bottom w:val="single" w:color="auto" w:sz="4" w:space="0"/>
              <w:right w:val="single" w:color="auto" w:sz="4" w:space="0"/>
            </w:tcBorders>
            <w:vAlign w:val="center"/>
          </w:tcPr>
          <w:p w14:paraId="484A9C56">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承担相应经济损失并按损失金额的10%进行考核。</w:t>
            </w:r>
          </w:p>
        </w:tc>
      </w:tr>
      <w:tr w14:paraId="02A9261B">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6A72210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4783" w:type="dxa"/>
            <w:tcBorders>
              <w:top w:val="nil"/>
              <w:left w:val="nil"/>
              <w:bottom w:val="single" w:color="auto" w:sz="4" w:space="0"/>
              <w:right w:val="single" w:color="auto" w:sz="4" w:space="0"/>
            </w:tcBorders>
            <w:vAlign w:val="center"/>
          </w:tcPr>
          <w:p w14:paraId="59373B5D">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乙方发生管辖范围内（含作业区域、生活区域和运输车辆等）责任性火灾事故。</w:t>
            </w:r>
          </w:p>
        </w:tc>
        <w:tc>
          <w:tcPr>
            <w:tcW w:w="3292" w:type="dxa"/>
            <w:tcBorders>
              <w:top w:val="nil"/>
              <w:left w:val="nil"/>
              <w:bottom w:val="single" w:color="auto" w:sz="4" w:space="0"/>
              <w:right w:val="single" w:color="auto" w:sz="4" w:space="0"/>
            </w:tcBorders>
            <w:vAlign w:val="center"/>
          </w:tcPr>
          <w:p w14:paraId="601A5B74">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根据人员伤害及财产损失情况，参照以上标准分别考核。</w:t>
            </w:r>
          </w:p>
        </w:tc>
      </w:tr>
      <w:tr w14:paraId="44DCE3A3">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6701A9B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4783" w:type="dxa"/>
            <w:tcBorders>
              <w:top w:val="nil"/>
              <w:left w:val="nil"/>
              <w:bottom w:val="single" w:color="auto" w:sz="4" w:space="0"/>
              <w:right w:val="single" w:color="auto" w:sz="4" w:space="0"/>
            </w:tcBorders>
            <w:vAlign w:val="center"/>
          </w:tcPr>
          <w:p w14:paraId="014AA095">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乙方因管理疏忽、员工违章等原因导致工作期间或管辖范围内发生火灾险情。</w:t>
            </w:r>
          </w:p>
        </w:tc>
        <w:tc>
          <w:tcPr>
            <w:tcW w:w="3292" w:type="dxa"/>
            <w:tcBorders>
              <w:top w:val="nil"/>
              <w:left w:val="nil"/>
              <w:bottom w:val="single" w:color="auto" w:sz="4" w:space="0"/>
              <w:right w:val="single" w:color="auto" w:sz="4" w:space="0"/>
            </w:tcBorders>
            <w:vAlign w:val="center"/>
          </w:tcPr>
          <w:p w14:paraId="7F255500">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考核4000元-1万元/次，并包赔甲方损失。</w:t>
            </w:r>
          </w:p>
        </w:tc>
      </w:tr>
      <w:tr w14:paraId="71B7F361">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4286672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4783" w:type="dxa"/>
            <w:tcBorders>
              <w:top w:val="nil"/>
              <w:left w:val="nil"/>
              <w:bottom w:val="single" w:color="auto" w:sz="4" w:space="0"/>
              <w:right w:val="single" w:color="auto" w:sz="4" w:space="0"/>
            </w:tcBorders>
            <w:vAlign w:val="center"/>
          </w:tcPr>
          <w:p w14:paraId="55AF8D26">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乙方在甲方范围内发生责任性交通事故。</w:t>
            </w:r>
          </w:p>
        </w:tc>
        <w:tc>
          <w:tcPr>
            <w:tcW w:w="3292" w:type="dxa"/>
            <w:tcBorders>
              <w:top w:val="nil"/>
              <w:left w:val="nil"/>
              <w:bottom w:val="single" w:color="auto" w:sz="4" w:space="0"/>
              <w:right w:val="single" w:color="auto" w:sz="4" w:space="0"/>
            </w:tcBorders>
            <w:vAlign w:val="center"/>
          </w:tcPr>
          <w:p w14:paraId="5F002F32">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按人身伤亡、经济损失类事故考核标准执行，并包赔甲方损失。</w:t>
            </w:r>
          </w:p>
        </w:tc>
      </w:tr>
      <w:tr w14:paraId="381A5328">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43B002D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4783" w:type="dxa"/>
            <w:tcBorders>
              <w:top w:val="nil"/>
              <w:left w:val="nil"/>
              <w:bottom w:val="single" w:color="auto" w:sz="4" w:space="0"/>
              <w:right w:val="single" w:color="auto" w:sz="4" w:space="0"/>
            </w:tcBorders>
            <w:vAlign w:val="center"/>
          </w:tcPr>
          <w:p w14:paraId="12FF8288">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乙方管理责任导致发生、发现职业病病例。</w:t>
            </w:r>
          </w:p>
        </w:tc>
        <w:tc>
          <w:tcPr>
            <w:tcW w:w="3292" w:type="dxa"/>
            <w:tcBorders>
              <w:top w:val="nil"/>
              <w:left w:val="nil"/>
              <w:bottom w:val="single" w:color="auto" w:sz="4" w:space="0"/>
              <w:right w:val="single" w:color="auto" w:sz="4" w:space="0"/>
            </w:tcBorders>
            <w:vAlign w:val="center"/>
          </w:tcPr>
          <w:p w14:paraId="57094B89">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参照重伤考核标准。</w:t>
            </w:r>
          </w:p>
        </w:tc>
      </w:tr>
      <w:tr w14:paraId="7CBA7780">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68339FA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4783" w:type="dxa"/>
            <w:tcBorders>
              <w:top w:val="nil"/>
              <w:left w:val="nil"/>
              <w:bottom w:val="single" w:color="auto" w:sz="4" w:space="0"/>
              <w:right w:val="single" w:color="auto" w:sz="4" w:space="0"/>
            </w:tcBorders>
            <w:vAlign w:val="center"/>
          </w:tcPr>
          <w:p w14:paraId="28203B3C">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乙方原因导致被环保主管部门通报、考核的环保事件。</w:t>
            </w:r>
          </w:p>
        </w:tc>
        <w:tc>
          <w:tcPr>
            <w:tcW w:w="3292" w:type="dxa"/>
            <w:tcBorders>
              <w:top w:val="nil"/>
              <w:left w:val="nil"/>
              <w:bottom w:val="single" w:color="auto" w:sz="4" w:space="0"/>
              <w:right w:val="single" w:color="auto" w:sz="4" w:space="0"/>
            </w:tcBorders>
            <w:vAlign w:val="center"/>
          </w:tcPr>
          <w:p w14:paraId="52BE4966">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考核1万－5万元/次，并按责任定性承担主管部门的考核或罚款，并包赔甲方损失。</w:t>
            </w:r>
          </w:p>
        </w:tc>
      </w:tr>
      <w:tr w14:paraId="502EDCF4">
        <w:tblPrEx>
          <w:tblCellMar>
            <w:top w:w="0" w:type="dxa"/>
            <w:left w:w="108" w:type="dxa"/>
            <w:bottom w:w="0" w:type="dxa"/>
            <w:right w:w="108" w:type="dxa"/>
          </w:tblCellMar>
        </w:tblPrEx>
        <w:trPr>
          <w:trHeight w:val="454" w:hRule="atLeast"/>
          <w:jc w:val="center"/>
        </w:trPr>
        <w:tc>
          <w:tcPr>
            <w:tcW w:w="739" w:type="dxa"/>
            <w:vMerge w:val="restart"/>
            <w:tcBorders>
              <w:top w:val="nil"/>
              <w:left w:val="single" w:color="auto" w:sz="4" w:space="0"/>
              <w:right w:val="single" w:color="auto" w:sz="4" w:space="0"/>
            </w:tcBorders>
            <w:vAlign w:val="center"/>
          </w:tcPr>
          <w:p w14:paraId="3222EF2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4783" w:type="dxa"/>
            <w:tcBorders>
              <w:top w:val="nil"/>
              <w:left w:val="nil"/>
              <w:bottom w:val="single" w:color="auto" w:sz="4" w:space="0"/>
              <w:right w:val="single" w:color="auto" w:sz="4" w:space="0"/>
            </w:tcBorders>
            <w:vAlign w:val="center"/>
          </w:tcPr>
          <w:p w14:paraId="5CDC634B">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①乙方在甲方建设场地内发生打架、斗殴、寻衅滋事等性质恶劣的事件并对甲方的正常生产构成实质性影响。</w:t>
            </w:r>
          </w:p>
        </w:tc>
        <w:tc>
          <w:tcPr>
            <w:tcW w:w="3292" w:type="dxa"/>
            <w:tcBorders>
              <w:top w:val="nil"/>
              <w:left w:val="nil"/>
              <w:bottom w:val="single" w:color="auto" w:sz="4" w:space="0"/>
              <w:right w:val="single" w:color="auto" w:sz="4" w:space="0"/>
            </w:tcBorders>
            <w:vAlign w:val="center"/>
          </w:tcPr>
          <w:p w14:paraId="1DDA88A8">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考核不低于1万元/次并赔偿损失，情节严重的移交地方公安部门依法处理。</w:t>
            </w:r>
          </w:p>
        </w:tc>
      </w:tr>
      <w:tr w14:paraId="2AF9D012">
        <w:tblPrEx>
          <w:tblCellMar>
            <w:top w:w="0" w:type="dxa"/>
            <w:left w:w="108" w:type="dxa"/>
            <w:bottom w:w="0" w:type="dxa"/>
            <w:right w:w="108" w:type="dxa"/>
          </w:tblCellMar>
        </w:tblPrEx>
        <w:trPr>
          <w:trHeight w:val="454" w:hRule="atLeast"/>
          <w:jc w:val="center"/>
        </w:trPr>
        <w:tc>
          <w:tcPr>
            <w:tcW w:w="739" w:type="dxa"/>
            <w:vMerge w:val="continue"/>
            <w:tcBorders>
              <w:left w:val="single" w:color="auto" w:sz="4" w:space="0"/>
              <w:right w:val="single" w:color="auto" w:sz="4" w:space="0"/>
            </w:tcBorders>
            <w:vAlign w:val="center"/>
          </w:tcPr>
          <w:p w14:paraId="1EBAAAA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p>
        </w:tc>
        <w:tc>
          <w:tcPr>
            <w:tcW w:w="4783" w:type="dxa"/>
            <w:tcBorders>
              <w:top w:val="nil"/>
              <w:left w:val="nil"/>
              <w:bottom w:val="single" w:color="auto" w:sz="4" w:space="0"/>
              <w:right w:val="single" w:color="auto" w:sz="4" w:space="0"/>
            </w:tcBorders>
            <w:vAlign w:val="center"/>
          </w:tcPr>
          <w:p w14:paraId="64C8954D">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②乙方在甲方建设场地内发生扰乱项目正常施工、办公秩序的事件，如聚众闹事、强制断电，封堵大门或出入通道，围堵甲方及监理人员，以自杀、自残相威胁等性质恶劣的事件。</w:t>
            </w:r>
          </w:p>
        </w:tc>
        <w:tc>
          <w:tcPr>
            <w:tcW w:w="3292" w:type="dxa"/>
            <w:tcBorders>
              <w:top w:val="nil"/>
              <w:left w:val="nil"/>
              <w:bottom w:val="single" w:color="auto" w:sz="4" w:space="0"/>
              <w:right w:val="single" w:color="auto" w:sz="4" w:space="0"/>
            </w:tcBorders>
            <w:vAlign w:val="center"/>
          </w:tcPr>
          <w:p w14:paraId="52B12F2A">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甲方有权直接从任何应付的工程款中直接扣除不低于3万元/次作为违约金，情节严重的移交国家执法机关依法处理。</w:t>
            </w:r>
          </w:p>
        </w:tc>
      </w:tr>
      <w:tr w14:paraId="296061CE">
        <w:tblPrEx>
          <w:tblCellMar>
            <w:top w:w="0" w:type="dxa"/>
            <w:left w:w="108" w:type="dxa"/>
            <w:bottom w:w="0" w:type="dxa"/>
            <w:right w:w="108" w:type="dxa"/>
          </w:tblCellMar>
        </w:tblPrEx>
        <w:trPr>
          <w:trHeight w:val="454" w:hRule="atLeast"/>
          <w:jc w:val="center"/>
        </w:trPr>
        <w:tc>
          <w:tcPr>
            <w:tcW w:w="739" w:type="dxa"/>
            <w:vMerge w:val="continue"/>
            <w:tcBorders>
              <w:left w:val="single" w:color="auto" w:sz="4" w:space="0"/>
              <w:bottom w:val="single" w:color="auto" w:sz="4" w:space="0"/>
              <w:right w:val="single" w:color="auto" w:sz="4" w:space="0"/>
            </w:tcBorders>
            <w:vAlign w:val="center"/>
          </w:tcPr>
          <w:p w14:paraId="19F7069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p>
        </w:tc>
        <w:tc>
          <w:tcPr>
            <w:tcW w:w="4783" w:type="dxa"/>
            <w:tcBorders>
              <w:top w:val="nil"/>
              <w:left w:val="nil"/>
              <w:bottom w:val="single" w:color="auto" w:sz="4" w:space="0"/>
              <w:right w:val="single" w:color="auto" w:sz="4" w:space="0"/>
            </w:tcBorders>
            <w:vAlign w:val="center"/>
          </w:tcPr>
          <w:p w14:paraId="18FC1ACF">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③发生乙方人员在甲方项目所在地以聚众闹事、封堵大门或通道、自杀自残相威胁、恶意投诉等方式扰乱社会秩序和政府行政机关正常工作，对公司声誉造成恶劣影响的事件。</w:t>
            </w:r>
          </w:p>
        </w:tc>
        <w:tc>
          <w:tcPr>
            <w:tcW w:w="3292" w:type="dxa"/>
            <w:tcBorders>
              <w:top w:val="nil"/>
              <w:left w:val="nil"/>
              <w:bottom w:val="single" w:color="auto" w:sz="4" w:space="0"/>
              <w:right w:val="single" w:color="auto" w:sz="4" w:space="0"/>
            </w:tcBorders>
            <w:vAlign w:val="center"/>
          </w:tcPr>
          <w:p w14:paraId="7E8C3EBB">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甲方有权直接从任何应付的工程款中直接扣除不低于5万元/次作为违约金，情节严重的移交国家执法机关依法处理。</w:t>
            </w:r>
          </w:p>
        </w:tc>
      </w:tr>
      <w:tr w14:paraId="432BA044">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663EB5F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4783" w:type="dxa"/>
            <w:tcBorders>
              <w:top w:val="nil"/>
              <w:left w:val="nil"/>
              <w:bottom w:val="single" w:color="auto" w:sz="4" w:space="0"/>
              <w:right w:val="single" w:color="auto" w:sz="4" w:space="0"/>
            </w:tcBorders>
            <w:vAlign w:val="center"/>
          </w:tcPr>
          <w:p w14:paraId="42C4D4EB">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乙方3个月内重复发生同样性质的人身伤亡、治安事件、违法事件或火灾事故、环保事件、交通事故。</w:t>
            </w:r>
          </w:p>
        </w:tc>
        <w:tc>
          <w:tcPr>
            <w:tcW w:w="3292" w:type="dxa"/>
            <w:tcBorders>
              <w:top w:val="nil"/>
              <w:left w:val="nil"/>
              <w:bottom w:val="single" w:color="auto" w:sz="4" w:space="0"/>
              <w:right w:val="single" w:color="auto" w:sz="4" w:space="0"/>
            </w:tcBorders>
            <w:vAlign w:val="center"/>
          </w:tcPr>
          <w:p w14:paraId="636D8451">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对应上述款项加倍处罚。</w:t>
            </w:r>
          </w:p>
        </w:tc>
      </w:tr>
      <w:tr w14:paraId="6BC2099E">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69B1805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4783" w:type="dxa"/>
            <w:tcBorders>
              <w:top w:val="nil"/>
              <w:left w:val="nil"/>
              <w:bottom w:val="single" w:color="auto" w:sz="4" w:space="0"/>
              <w:right w:val="single" w:color="auto" w:sz="4" w:space="0"/>
            </w:tcBorders>
            <w:vAlign w:val="center"/>
          </w:tcPr>
          <w:p w14:paraId="54946286">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乙方发生安全事故不及时汇报（超过24小时），或谎报、瞒报，逃避责任等行为。</w:t>
            </w:r>
          </w:p>
        </w:tc>
        <w:tc>
          <w:tcPr>
            <w:tcW w:w="3292" w:type="dxa"/>
            <w:tcBorders>
              <w:top w:val="nil"/>
              <w:left w:val="nil"/>
              <w:bottom w:val="single" w:color="auto" w:sz="4" w:space="0"/>
              <w:right w:val="single" w:color="auto" w:sz="4" w:space="0"/>
            </w:tcBorders>
            <w:vAlign w:val="center"/>
          </w:tcPr>
          <w:p w14:paraId="0558CCBF">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按事故事件的级别给予不超过2万元/次的考核（事故责任另计）。</w:t>
            </w:r>
          </w:p>
        </w:tc>
      </w:tr>
      <w:tr w14:paraId="385A3CCC">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2F9E96E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二</w:t>
            </w:r>
          </w:p>
        </w:tc>
        <w:tc>
          <w:tcPr>
            <w:tcW w:w="8075" w:type="dxa"/>
            <w:gridSpan w:val="2"/>
            <w:tcBorders>
              <w:top w:val="nil"/>
              <w:left w:val="nil"/>
              <w:bottom w:val="single" w:color="auto" w:sz="4" w:space="0"/>
              <w:right w:val="single" w:color="auto" w:sz="4" w:space="0"/>
            </w:tcBorders>
            <w:vAlign w:val="center"/>
          </w:tcPr>
          <w:p w14:paraId="09B4A78A">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安全管理考核</w:t>
            </w:r>
          </w:p>
        </w:tc>
      </w:tr>
      <w:tr w14:paraId="640F95B2">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6B28DD3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w:t>
            </w:r>
          </w:p>
        </w:tc>
        <w:tc>
          <w:tcPr>
            <w:tcW w:w="4783" w:type="dxa"/>
            <w:tcBorders>
              <w:top w:val="nil"/>
              <w:left w:val="nil"/>
              <w:bottom w:val="single" w:color="auto" w:sz="4" w:space="0"/>
              <w:right w:val="single" w:color="auto" w:sz="4" w:space="0"/>
            </w:tcBorders>
            <w:vAlign w:val="center"/>
          </w:tcPr>
          <w:p w14:paraId="1C3D3521">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乙方新人员未经安全教育或考试不合格上岗。</w:t>
            </w:r>
          </w:p>
        </w:tc>
        <w:tc>
          <w:tcPr>
            <w:tcW w:w="3292" w:type="dxa"/>
            <w:tcBorders>
              <w:top w:val="nil"/>
              <w:left w:val="nil"/>
              <w:bottom w:val="single" w:color="auto" w:sz="4" w:space="0"/>
              <w:right w:val="single" w:color="auto" w:sz="4" w:space="0"/>
            </w:tcBorders>
            <w:vAlign w:val="center"/>
          </w:tcPr>
          <w:p w14:paraId="4172C125">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考核500元－1000元/人。</w:t>
            </w:r>
          </w:p>
        </w:tc>
      </w:tr>
      <w:tr w14:paraId="669F3094">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1CD2207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4783" w:type="dxa"/>
            <w:tcBorders>
              <w:top w:val="nil"/>
              <w:left w:val="nil"/>
              <w:bottom w:val="single" w:color="auto" w:sz="4" w:space="0"/>
              <w:right w:val="single" w:color="auto" w:sz="4" w:space="0"/>
            </w:tcBorders>
            <w:vAlign w:val="center"/>
          </w:tcPr>
          <w:p w14:paraId="46BEC7B5">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乙方人员变更未及时向甲方或监理方申报、备案的。</w:t>
            </w:r>
          </w:p>
        </w:tc>
        <w:tc>
          <w:tcPr>
            <w:tcW w:w="3292" w:type="dxa"/>
            <w:tcBorders>
              <w:top w:val="nil"/>
              <w:left w:val="nil"/>
              <w:bottom w:val="single" w:color="auto" w:sz="4" w:space="0"/>
              <w:right w:val="single" w:color="auto" w:sz="4" w:space="0"/>
            </w:tcBorders>
            <w:vAlign w:val="center"/>
          </w:tcPr>
          <w:p w14:paraId="11A163CE">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考核500元－1000元/人·次。</w:t>
            </w:r>
          </w:p>
        </w:tc>
      </w:tr>
      <w:tr w14:paraId="081A3EEE">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2BC09F2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4783" w:type="dxa"/>
            <w:tcBorders>
              <w:top w:val="nil"/>
              <w:left w:val="nil"/>
              <w:bottom w:val="single" w:color="auto" w:sz="4" w:space="0"/>
              <w:right w:val="single" w:color="auto" w:sz="4" w:space="0"/>
            </w:tcBorders>
            <w:vAlign w:val="center"/>
          </w:tcPr>
          <w:p w14:paraId="3CDF49C6">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乙方施工过程中特种作业人员无证上岗，或不随身携带特种作业证。</w:t>
            </w:r>
          </w:p>
        </w:tc>
        <w:tc>
          <w:tcPr>
            <w:tcW w:w="3292" w:type="dxa"/>
            <w:tcBorders>
              <w:top w:val="nil"/>
              <w:left w:val="nil"/>
              <w:bottom w:val="single" w:color="auto" w:sz="4" w:space="0"/>
              <w:right w:val="single" w:color="auto" w:sz="4" w:space="0"/>
            </w:tcBorders>
            <w:vAlign w:val="center"/>
          </w:tcPr>
          <w:p w14:paraId="50AA7D9A">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特种作业人员无证上岗考核2000元-5000元/人.次，特种作业证未随身携带考核500元/人次。</w:t>
            </w:r>
          </w:p>
        </w:tc>
      </w:tr>
      <w:tr w14:paraId="5E61144C">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717BA1E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4783" w:type="dxa"/>
            <w:tcBorders>
              <w:top w:val="nil"/>
              <w:left w:val="nil"/>
              <w:bottom w:val="single" w:color="auto" w:sz="4" w:space="0"/>
              <w:right w:val="single" w:color="auto" w:sz="4" w:space="0"/>
            </w:tcBorders>
            <w:vAlign w:val="center"/>
          </w:tcPr>
          <w:p w14:paraId="14847F39">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乙方不按要求落实甲方反事故措施或重大安全事故隐患整改措施。</w:t>
            </w:r>
          </w:p>
        </w:tc>
        <w:tc>
          <w:tcPr>
            <w:tcW w:w="3292" w:type="dxa"/>
            <w:tcBorders>
              <w:top w:val="nil"/>
              <w:left w:val="nil"/>
              <w:bottom w:val="single" w:color="auto" w:sz="4" w:space="0"/>
              <w:right w:val="single" w:color="auto" w:sz="4" w:space="0"/>
            </w:tcBorders>
            <w:vAlign w:val="center"/>
          </w:tcPr>
          <w:p w14:paraId="55374428">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考核1000元－5000元/项。</w:t>
            </w:r>
          </w:p>
        </w:tc>
      </w:tr>
      <w:tr w14:paraId="3A947A85">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46228CB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4783" w:type="dxa"/>
            <w:tcBorders>
              <w:top w:val="nil"/>
              <w:left w:val="nil"/>
              <w:bottom w:val="single" w:color="auto" w:sz="4" w:space="0"/>
              <w:right w:val="single" w:color="auto" w:sz="4" w:space="0"/>
            </w:tcBorders>
            <w:vAlign w:val="center"/>
          </w:tcPr>
          <w:p w14:paraId="64B96AEC">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乙方对甲方提出的安全整改意见无特殊原因未安排整改的。</w:t>
            </w:r>
          </w:p>
        </w:tc>
        <w:tc>
          <w:tcPr>
            <w:tcW w:w="3292" w:type="dxa"/>
            <w:tcBorders>
              <w:top w:val="nil"/>
              <w:left w:val="nil"/>
              <w:bottom w:val="single" w:color="auto" w:sz="4" w:space="0"/>
              <w:right w:val="single" w:color="auto" w:sz="4" w:space="0"/>
            </w:tcBorders>
            <w:vAlign w:val="center"/>
          </w:tcPr>
          <w:p w14:paraId="2F9C4A33">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每逾期1天考核500元。</w:t>
            </w:r>
          </w:p>
        </w:tc>
      </w:tr>
      <w:tr w14:paraId="61DBDF47">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731F9D3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4783" w:type="dxa"/>
            <w:tcBorders>
              <w:top w:val="nil"/>
              <w:left w:val="nil"/>
              <w:bottom w:val="single" w:color="auto" w:sz="4" w:space="0"/>
              <w:right w:val="single" w:color="auto" w:sz="4" w:space="0"/>
            </w:tcBorders>
            <w:vAlign w:val="center"/>
          </w:tcPr>
          <w:p w14:paraId="7C81330E">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乙方施工现场在用的特种设备未经法定检验或未及时备案，或超检验期使用。</w:t>
            </w:r>
          </w:p>
        </w:tc>
        <w:tc>
          <w:tcPr>
            <w:tcW w:w="3292" w:type="dxa"/>
            <w:tcBorders>
              <w:top w:val="nil"/>
              <w:left w:val="nil"/>
              <w:bottom w:val="single" w:color="auto" w:sz="4" w:space="0"/>
              <w:right w:val="single" w:color="auto" w:sz="4" w:space="0"/>
            </w:tcBorders>
            <w:vAlign w:val="center"/>
          </w:tcPr>
          <w:p w14:paraId="0403DFA5">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考核5000－1万元/次。</w:t>
            </w:r>
          </w:p>
        </w:tc>
      </w:tr>
      <w:tr w14:paraId="0A90D6D0">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768CDB5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4783" w:type="dxa"/>
            <w:tcBorders>
              <w:top w:val="nil"/>
              <w:left w:val="nil"/>
              <w:bottom w:val="single" w:color="auto" w:sz="4" w:space="0"/>
              <w:right w:val="single" w:color="auto" w:sz="4" w:space="0"/>
            </w:tcBorders>
            <w:vAlign w:val="center"/>
          </w:tcPr>
          <w:p w14:paraId="567D40D1">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乙方使用未经检验或超过检验期的安全工器具。</w:t>
            </w:r>
          </w:p>
        </w:tc>
        <w:tc>
          <w:tcPr>
            <w:tcW w:w="3292" w:type="dxa"/>
            <w:tcBorders>
              <w:top w:val="nil"/>
              <w:left w:val="nil"/>
              <w:bottom w:val="single" w:color="auto" w:sz="4" w:space="0"/>
              <w:right w:val="single" w:color="auto" w:sz="4" w:space="0"/>
            </w:tcBorders>
            <w:vAlign w:val="center"/>
          </w:tcPr>
          <w:p w14:paraId="2295653E">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考核500元-2000元元/项。</w:t>
            </w:r>
          </w:p>
        </w:tc>
      </w:tr>
      <w:tr w14:paraId="7935BF76">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60D04A6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w:t>
            </w:r>
          </w:p>
        </w:tc>
        <w:tc>
          <w:tcPr>
            <w:tcW w:w="4783" w:type="dxa"/>
            <w:tcBorders>
              <w:top w:val="nil"/>
              <w:left w:val="nil"/>
              <w:bottom w:val="single" w:color="auto" w:sz="4" w:space="0"/>
              <w:right w:val="single" w:color="auto" w:sz="4" w:space="0"/>
            </w:tcBorders>
            <w:vAlign w:val="center"/>
          </w:tcPr>
          <w:p w14:paraId="4C1E95D1">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乙方不服从甲方对口管理部门、管理人员指挥，且态度恶劣、拒不整改的。</w:t>
            </w:r>
          </w:p>
        </w:tc>
        <w:tc>
          <w:tcPr>
            <w:tcW w:w="3292" w:type="dxa"/>
            <w:tcBorders>
              <w:top w:val="nil"/>
              <w:left w:val="nil"/>
              <w:bottom w:val="single" w:color="auto" w:sz="4" w:space="0"/>
              <w:right w:val="single" w:color="auto" w:sz="4" w:space="0"/>
            </w:tcBorders>
            <w:vAlign w:val="center"/>
          </w:tcPr>
          <w:p w14:paraId="56CF02C3">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考核1000元－3000元/次，情节严重者驱逐出厂。</w:t>
            </w:r>
          </w:p>
        </w:tc>
      </w:tr>
      <w:tr w14:paraId="0F03B01F">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4C45492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三</w:t>
            </w:r>
          </w:p>
        </w:tc>
        <w:tc>
          <w:tcPr>
            <w:tcW w:w="8075" w:type="dxa"/>
            <w:gridSpan w:val="2"/>
            <w:tcBorders>
              <w:top w:val="nil"/>
              <w:left w:val="nil"/>
              <w:bottom w:val="single" w:color="auto" w:sz="4" w:space="0"/>
              <w:right w:val="single" w:color="auto" w:sz="4" w:space="0"/>
            </w:tcBorders>
            <w:vAlign w:val="center"/>
          </w:tcPr>
          <w:p w14:paraId="3EE34A8C">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违章考核</w:t>
            </w:r>
          </w:p>
        </w:tc>
      </w:tr>
      <w:tr w14:paraId="6EF00B73">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745A5A3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w:t>
            </w:r>
          </w:p>
        </w:tc>
        <w:tc>
          <w:tcPr>
            <w:tcW w:w="4783" w:type="dxa"/>
            <w:tcBorders>
              <w:top w:val="nil"/>
              <w:left w:val="nil"/>
              <w:bottom w:val="single" w:color="auto" w:sz="4" w:space="0"/>
              <w:right w:val="single" w:color="auto" w:sz="4" w:space="0"/>
            </w:tcBorders>
            <w:vAlign w:val="center"/>
          </w:tcPr>
          <w:p w14:paraId="2E1C98D3">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乙方违规搭设脚手架，脚手架未验收或无验收合格证投入使用。</w:t>
            </w:r>
          </w:p>
        </w:tc>
        <w:tc>
          <w:tcPr>
            <w:tcW w:w="3292" w:type="dxa"/>
            <w:tcBorders>
              <w:top w:val="nil"/>
              <w:left w:val="nil"/>
              <w:bottom w:val="single" w:color="auto" w:sz="4" w:space="0"/>
              <w:right w:val="single" w:color="auto" w:sz="4" w:space="0"/>
            </w:tcBorders>
            <w:vAlign w:val="center"/>
          </w:tcPr>
          <w:p w14:paraId="0DE3B1F0">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脚手架存在较大安全隐患考核1000元－5000元/项，未经验收投入使用考核5000元-1万元/处。</w:t>
            </w:r>
          </w:p>
        </w:tc>
      </w:tr>
      <w:tr w14:paraId="4D20BABD">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448F265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4783" w:type="dxa"/>
            <w:tcBorders>
              <w:top w:val="nil"/>
              <w:left w:val="nil"/>
              <w:bottom w:val="single" w:color="auto" w:sz="4" w:space="0"/>
              <w:right w:val="single" w:color="auto" w:sz="4" w:space="0"/>
            </w:tcBorders>
            <w:vAlign w:val="center"/>
          </w:tcPr>
          <w:p w14:paraId="37973EEB">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乙方违反《电力安全工作规程》高处、临边、起重等作业有关规定，隔离、防护设施不到位。</w:t>
            </w:r>
          </w:p>
        </w:tc>
        <w:tc>
          <w:tcPr>
            <w:tcW w:w="3292" w:type="dxa"/>
            <w:tcBorders>
              <w:top w:val="nil"/>
              <w:left w:val="nil"/>
              <w:bottom w:val="single" w:color="auto" w:sz="4" w:space="0"/>
              <w:right w:val="single" w:color="auto" w:sz="4" w:space="0"/>
            </w:tcBorders>
            <w:vAlign w:val="center"/>
          </w:tcPr>
          <w:p w14:paraId="4315AB68">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考核1000元－5000元/处。</w:t>
            </w:r>
          </w:p>
        </w:tc>
      </w:tr>
      <w:tr w14:paraId="39856713">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222BBA6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w:t>
            </w:r>
          </w:p>
        </w:tc>
        <w:tc>
          <w:tcPr>
            <w:tcW w:w="4783" w:type="dxa"/>
            <w:tcBorders>
              <w:top w:val="nil"/>
              <w:left w:val="nil"/>
              <w:bottom w:val="single" w:color="auto" w:sz="4" w:space="0"/>
              <w:right w:val="single" w:color="auto" w:sz="4" w:space="0"/>
            </w:tcBorders>
            <w:vAlign w:val="center"/>
          </w:tcPr>
          <w:p w14:paraId="7830AB36">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乙方违反起重设备使用规定或由于使用不当造成起重设备的损坏。</w:t>
            </w:r>
          </w:p>
        </w:tc>
        <w:tc>
          <w:tcPr>
            <w:tcW w:w="3292" w:type="dxa"/>
            <w:tcBorders>
              <w:top w:val="nil"/>
              <w:left w:val="nil"/>
              <w:bottom w:val="single" w:color="auto" w:sz="4" w:space="0"/>
              <w:right w:val="single" w:color="auto" w:sz="4" w:space="0"/>
            </w:tcBorders>
            <w:vAlign w:val="center"/>
          </w:tcPr>
          <w:p w14:paraId="7F6528E8">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考核1000元－3000元/次，并负责修复。</w:t>
            </w:r>
          </w:p>
        </w:tc>
      </w:tr>
      <w:tr w14:paraId="5398F265">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72D88AB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25</w:t>
            </w:r>
          </w:p>
        </w:tc>
        <w:tc>
          <w:tcPr>
            <w:tcW w:w="4783" w:type="dxa"/>
            <w:tcBorders>
              <w:top w:val="nil"/>
              <w:left w:val="nil"/>
              <w:bottom w:val="single" w:color="auto" w:sz="4" w:space="0"/>
              <w:right w:val="single" w:color="auto" w:sz="4" w:space="0"/>
            </w:tcBorders>
            <w:vAlign w:val="center"/>
          </w:tcPr>
          <w:p w14:paraId="714AC38F">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乙方员工工作现场不穿戴或不正确穿戴劳动防护用品，或使用不合格工器具。</w:t>
            </w:r>
          </w:p>
        </w:tc>
        <w:tc>
          <w:tcPr>
            <w:tcW w:w="3292" w:type="dxa"/>
            <w:tcBorders>
              <w:top w:val="nil"/>
              <w:left w:val="nil"/>
              <w:bottom w:val="single" w:color="auto" w:sz="4" w:space="0"/>
              <w:right w:val="single" w:color="auto" w:sz="4" w:space="0"/>
            </w:tcBorders>
            <w:vAlign w:val="center"/>
          </w:tcPr>
          <w:p w14:paraId="2C901039">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考核500元－1000元元/人·次。</w:t>
            </w:r>
          </w:p>
        </w:tc>
      </w:tr>
      <w:tr w14:paraId="0949FDAA">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3261F2A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w:t>
            </w:r>
          </w:p>
        </w:tc>
        <w:tc>
          <w:tcPr>
            <w:tcW w:w="4783" w:type="dxa"/>
            <w:tcBorders>
              <w:top w:val="nil"/>
              <w:left w:val="nil"/>
              <w:bottom w:val="single" w:color="auto" w:sz="4" w:space="0"/>
              <w:right w:val="single" w:color="auto" w:sz="4" w:space="0"/>
            </w:tcBorders>
            <w:vAlign w:val="center"/>
          </w:tcPr>
          <w:p w14:paraId="6EA36D6B">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乙方在重点防火部位违规动火。</w:t>
            </w:r>
          </w:p>
        </w:tc>
        <w:tc>
          <w:tcPr>
            <w:tcW w:w="3292" w:type="dxa"/>
            <w:tcBorders>
              <w:top w:val="nil"/>
              <w:left w:val="nil"/>
              <w:bottom w:val="single" w:color="auto" w:sz="4" w:space="0"/>
              <w:right w:val="single" w:color="auto" w:sz="4" w:space="0"/>
            </w:tcBorders>
            <w:vAlign w:val="center"/>
          </w:tcPr>
          <w:p w14:paraId="34CF8704">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考核2000元－5000元/项。</w:t>
            </w:r>
          </w:p>
        </w:tc>
      </w:tr>
      <w:tr w14:paraId="529DA955">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762474B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27</w:t>
            </w:r>
          </w:p>
        </w:tc>
        <w:tc>
          <w:tcPr>
            <w:tcW w:w="4783" w:type="dxa"/>
            <w:tcBorders>
              <w:top w:val="nil"/>
              <w:left w:val="nil"/>
              <w:bottom w:val="single" w:color="auto" w:sz="4" w:space="0"/>
              <w:right w:val="single" w:color="auto" w:sz="4" w:space="0"/>
            </w:tcBorders>
            <w:vAlign w:val="center"/>
          </w:tcPr>
          <w:p w14:paraId="00D3DF27">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乙方高处动火作业，对下方的设备不采取防火隔离措施，或在地板砖、网格栅等处施工未采取保护措施。</w:t>
            </w:r>
          </w:p>
        </w:tc>
        <w:tc>
          <w:tcPr>
            <w:tcW w:w="3292" w:type="dxa"/>
            <w:tcBorders>
              <w:top w:val="nil"/>
              <w:left w:val="nil"/>
              <w:bottom w:val="single" w:color="auto" w:sz="4" w:space="0"/>
              <w:right w:val="single" w:color="auto" w:sz="4" w:space="0"/>
            </w:tcBorders>
            <w:vAlign w:val="center"/>
          </w:tcPr>
          <w:p w14:paraId="7C791DC0">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考核500元－1000元元/次。</w:t>
            </w:r>
          </w:p>
        </w:tc>
      </w:tr>
      <w:tr w14:paraId="2942B26E">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2484B40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28</w:t>
            </w:r>
          </w:p>
        </w:tc>
        <w:tc>
          <w:tcPr>
            <w:tcW w:w="4783" w:type="dxa"/>
            <w:tcBorders>
              <w:top w:val="nil"/>
              <w:left w:val="nil"/>
              <w:bottom w:val="single" w:color="auto" w:sz="4" w:space="0"/>
              <w:right w:val="single" w:color="auto" w:sz="4" w:space="0"/>
            </w:tcBorders>
            <w:vAlign w:val="center"/>
          </w:tcPr>
          <w:p w14:paraId="434F5171">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乙方擅自使用、停运甲方消防水源，挪用、摆压、封堵、圈围、拆除、停用甲方消防设施。</w:t>
            </w:r>
          </w:p>
        </w:tc>
        <w:tc>
          <w:tcPr>
            <w:tcW w:w="3292" w:type="dxa"/>
            <w:tcBorders>
              <w:top w:val="nil"/>
              <w:left w:val="nil"/>
              <w:bottom w:val="single" w:color="auto" w:sz="4" w:space="0"/>
              <w:right w:val="single" w:color="auto" w:sz="4" w:space="0"/>
            </w:tcBorders>
            <w:vAlign w:val="center"/>
          </w:tcPr>
          <w:p w14:paraId="0F587D9D">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考核500元－1000元元/项，并负责修复或恢复。</w:t>
            </w:r>
          </w:p>
        </w:tc>
      </w:tr>
      <w:tr w14:paraId="7BFA301D">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68B1349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29</w:t>
            </w:r>
          </w:p>
        </w:tc>
        <w:tc>
          <w:tcPr>
            <w:tcW w:w="4783" w:type="dxa"/>
            <w:tcBorders>
              <w:top w:val="nil"/>
              <w:left w:val="nil"/>
              <w:bottom w:val="single" w:color="auto" w:sz="4" w:space="0"/>
              <w:right w:val="single" w:color="auto" w:sz="4" w:space="0"/>
            </w:tcBorders>
            <w:vAlign w:val="center"/>
          </w:tcPr>
          <w:p w14:paraId="64B90B97">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乙方未经批准堵塞安全出口、疏散通道、消防通道或者占用防火间距。</w:t>
            </w:r>
          </w:p>
        </w:tc>
        <w:tc>
          <w:tcPr>
            <w:tcW w:w="3292" w:type="dxa"/>
            <w:tcBorders>
              <w:top w:val="nil"/>
              <w:left w:val="nil"/>
              <w:bottom w:val="single" w:color="auto" w:sz="4" w:space="0"/>
              <w:right w:val="single" w:color="auto" w:sz="4" w:space="0"/>
            </w:tcBorders>
            <w:vAlign w:val="center"/>
          </w:tcPr>
          <w:p w14:paraId="0F4B4E88">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考核500元－1000元元/项并责令现场整改。</w:t>
            </w:r>
          </w:p>
        </w:tc>
      </w:tr>
      <w:tr w14:paraId="60FCCB0C">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557CA2B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w:t>
            </w:r>
          </w:p>
        </w:tc>
        <w:tc>
          <w:tcPr>
            <w:tcW w:w="4783" w:type="dxa"/>
            <w:tcBorders>
              <w:top w:val="nil"/>
              <w:left w:val="nil"/>
              <w:bottom w:val="single" w:color="auto" w:sz="4" w:space="0"/>
              <w:right w:val="single" w:color="auto" w:sz="4" w:space="0"/>
            </w:tcBorders>
            <w:vAlign w:val="center"/>
          </w:tcPr>
          <w:p w14:paraId="2C1B32CB">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乙方不执行甲方临时电源管理规定，私拉乱接电线，或不正确使用现场检修电源箱。</w:t>
            </w:r>
          </w:p>
        </w:tc>
        <w:tc>
          <w:tcPr>
            <w:tcW w:w="3292" w:type="dxa"/>
            <w:tcBorders>
              <w:top w:val="nil"/>
              <w:left w:val="nil"/>
              <w:bottom w:val="single" w:color="auto" w:sz="4" w:space="0"/>
              <w:right w:val="single" w:color="auto" w:sz="4" w:space="0"/>
            </w:tcBorders>
            <w:vAlign w:val="center"/>
          </w:tcPr>
          <w:p w14:paraId="17660EC7">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考核500元－1000元元/项。</w:t>
            </w:r>
          </w:p>
        </w:tc>
      </w:tr>
      <w:tr w14:paraId="33309463">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7106820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31</w:t>
            </w:r>
          </w:p>
        </w:tc>
        <w:tc>
          <w:tcPr>
            <w:tcW w:w="4783" w:type="dxa"/>
            <w:tcBorders>
              <w:top w:val="nil"/>
              <w:left w:val="nil"/>
              <w:bottom w:val="single" w:color="auto" w:sz="4" w:space="0"/>
              <w:right w:val="single" w:color="auto" w:sz="4" w:space="0"/>
            </w:tcBorders>
            <w:vAlign w:val="center"/>
          </w:tcPr>
          <w:p w14:paraId="196018D6">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乙方违反规程中有关电焊、气焊管理规定，气瓶储存、定置不附合规定，作业工具及施工工艺不附合安全标准。</w:t>
            </w:r>
          </w:p>
        </w:tc>
        <w:tc>
          <w:tcPr>
            <w:tcW w:w="3292" w:type="dxa"/>
            <w:tcBorders>
              <w:top w:val="nil"/>
              <w:left w:val="nil"/>
              <w:bottom w:val="single" w:color="auto" w:sz="4" w:space="0"/>
              <w:right w:val="single" w:color="auto" w:sz="4" w:space="0"/>
            </w:tcBorders>
            <w:vAlign w:val="center"/>
          </w:tcPr>
          <w:p w14:paraId="6224B82E">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考核500元-1000元元/项。</w:t>
            </w:r>
          </w:p>
        </w:tc>
      </w:tr>
      <w:tr w14:paraId="7A717960">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3F97404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四</w:t>
            </w:r>
          </w:p>
        </w:tc>
        <w:tc>
          <w:tcPr>
            <w:tcW w:w="8075" w:type="dxa"/>
            <w:gridSpan w:val="2"/>
            <w:tcBorders>
              <w:top w:val="nil"/>
              <w:left w:val="nil"/>
              <w:bottom w:val="single" w:color="auto" w:sz="4" w:space="0"/>
              <w:right w:val="single" w:color="auto" w:sz="4" w:space="0"/>
            </w:tcBorders>
            <w:vAlign w:val="center"/>
          </w:tcPr>
          <w:p w14:paraId="3FF5ACA1">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其它类考核</w:t>
            </w:r>
          </w:p>
        </w:tc>
      </w:tr>
      <w:tr w14:paraId="077ED96B">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267340E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w:t>
            </w:r>
          </w:p>
        </w:tc>
        <w:tc>
          <w:tcPr>
            <w:tcW w:w="4783" w:type="dxa"/>
            <w:tcBorders>
              <w:top w:val="nil"/>
              <w:left w:val="nil"/>
              <w:bottom w:val="single" w:color="auto" w:sz="4" w:space="0"/>
              <w:right w:val="single" w:color="auto" w:sz="4" w:space="0"/>
            </w:tcBorders>
            <w:vAlign w:val="center"/>
          </w:tcPr>
          <w:p w14:paraId="12CE279A">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乙方无故缺席甲方项目安全会议，或未及时传达、下发甲方专项要求、事故通报等。</w:t>
            </w:r>
          </w:p>
        </w:tc>
        <w:tc>
          <w:tcPr>
            <w:tcW w:w="3292" w:type="dxa"/>
            <w:tcBorders>
              <w:top w:val="nil"/>
              <w:left w:val="nil"/>
              <w:bottom w:val="single" w:color="auto" w:sz="4" w:space="0"/>
              <w:right w:val="single" w:color="auto" w:sz="4" w:space="0"/>
            </w:tcBorders>
            <w:vAlign w:val="center"/>
          </w:tcPr>
          <w:p w14:paraId="52127D4F">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考核500元/次。</w:t>
            </w:r>
          </w:p>
        </w:tc>
      </w:tr>
      <w:tr w14:paraId="21D80D8B">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2ECFF07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33</w:t>
            </w:r>
          </w:p>
        </w:tc>
        <w:tc>
          <w:tcPr>
            <w:tcW w:w="4783" w:type="dxa"/>
            <w:tcBorders>
              <w:top w:val="nil"/>
              <w:left w:val="nil"/>
              <w:bottom w:val="single" w:color="auto" w:sz="4" w:space="0"/>
              <w:right w:val="single" w:color="auto" w:sz="4" w:space="0"/>
            </w:tcBorders>
            <w:vAlign w:val="center"/>
          </w:tcPr>
          <w:p w14:paraId="39564AAC">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乙方违反《电力安全工作规程》中搬运规定，造成厂区道路污染、草木或设备损坏等。</w:t>
            </w:r>
          </w:p>
        </w:tc>
        <w:tc>
          <w:tcPr>
            <w:tcW w:w="3292" w:type="dxa"/>
            <w:tcBorders>
              <w:top w:val="nil"/>
              <w:left w:val="nil"/>
              <w:bottom w:val="single" w:color="auto" w:sz="4" w:space="0"/>
              <w:right w:val="single" w:color="auto" w:sz="4" w:space="0"/>
            </w:tcBorders>
            <w:vAlign w:val="center"/>
          </w:tcPr>
          <w:p w14:paraId="363FC171">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考核500元－2000元元/次，并负责修复。</w:t>
            </w:r>
          </w:p>
        </w:tc>
      </w:tr>
      <w:tr w14:paraId="7F479F1F">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26343E0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34</w:t>
            </w:r>
          </w:p>
        </w:tc>
        <w:tc>
          <w:tcPr>
            <w:tcW w:w="4783" w:type="dxa"/>
            <w:tcBorders>
              <w:top w:val="nil"/>
              <w:left w:val="nil"/>
              <w:bottom w:val="single" w:color="auto" w:sz="4" w:space="0"/>
              <w:right w:val="single" w:color="auto" w:sz="4" w:space="0"/>
            </w:tcBorders>
            <w:vAlign w:val="center"/>
          </w:tcPr>
          <w:p w14:paraId="5130729A">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乙方作业区域脏、乱、差问题严重，工作结束未做到“工完、料尽、场地清”。</w:t>
            </w:r>
          </w:p>
        </w:tc>
        <w:tc>
          <w:tcPr>
            <w:tcW w:w="3292" w:type="dxa"/>
            <w:tcBorders>
              <w:top w:val="nil"/>
              <w:left w:val="nil"/>
              <w:bottom w:val="single" w:color="auto" w:sz="4" w:space="0"/>
              <w:right w:val="single" w:color="auto" w:sz="4" w:space="0"/>
            </w:tcBorders>
            <w:vAlign w:val="center"/>
          </w:tcPr>
          <w:p w14:paraId="1BFE7D5A">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考核500元－2000元元/次。</w:t>
            </w:r>
          </w:p>
        </w:tc>
      </w:tr>
      <w:tr w14:paraId="775258ED">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77D85ED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w:t>
            </w:r>
          </w:p>
        </w:tc>
        <w:tc>
          <w:tcPr>
            <w:tcW w:w="4783" w:type="dxa"/>
            <w:tcBorders>
              <w:top w:val="nil"/>
              <w:left w:val="nil"/>
              <w:bottom w:val="single" w:color="auto" w:sz="4" w:space="0"/>
              <w:right w:val="single" w:color="auto" w:sz="4" w:space="0"/>
            </w:tcBorders>
            <w:vAlign w:val="center"/>
          </w:tcPr>
          <w:p w14:paraId="46EDCAFE">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乙方现场材料、工具、部件、棚架、油漆、废料等不符合定置管理要求，经提出后仍不整改。</w:t>
            </w:r>
          </w:p>
        </w:tc>
        <w:tc>
          <w:tcPr>
            <w:tcW w:w="3292" w:type="dxa"/>
            <w:tcBorders>
              <w:top w:val="nil"/>
              <w:left w:val="nil"/>
              <w:bottom w:val="single" w:color="auto" w:sz="4" w:space="0"/>
              <w:right w:val="single" w:color="auto" w:sz="4" w:space="0"/>
            </w:tcBorders>
            <w:vAlign w:val="center"/>
          </w:tcPr>
          <w:p w14:paraId="486D1D16">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考核500元－2000元元/项。</w:t>
            </w:r>
          </w:p>
        </w:tc>
      </w:tr>
      <w:tr w14:paraId="2C7F0ACF">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5D3EE22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36</w:t>
            </w:r>
          </w:p>
        </w:tc>
        <w:tc>
          <w:tcPr>
            <w:tcW w:w="4783" w:type="dxa"/>
            <w:tcBorders>
              <w:top w:val="nil"/>
              <w:left w:val="nil"/>
              <w:bottom w:val="single" w:color="auto" w:sz="4" w:space="0"/>
              <w:right w:val="single" w:color="auto" w:sz="4" w:space="0"/>
            </w:tcBorders>
            <w:vAlign w:val="center"/>
          </w:tcPr>
          <w:p w14:paraId="5EEB74B6">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乙方设备作业区域不采取完善的隔离保护措施，或由此造成设备、备品备件、零配件丢失或损坏，或杂物掉入、设施损坏、环境污染等。</w:t>
            </w:r>
          </w:p>
        </w:tc>
        <w:tc>
          <w:tcPr>
            <w:tcW w:w="3292" w:type="dxa"/>
            <w:tcBorders>
              <w:top w:val="nil"/>
              <w:left w:val="nil"/>
              <w:bottom w:val="single" w:color="auto" w:sz="4" w:space="0"/>
              <w:right w:val="single" w:color="auto" w:sz="4" w:space="0"/>
            </w:tcBorders>
            <w:vAlign w:val="center"/>
          </w:tcPr>
          <w:p w14:paraId="7185A606">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考核500元－2000元元/次，设备和备件丢失、损坏按原价赔偿。</w:t>
            </w:r>
          </w:p>
        </w:tc>
      </w:tr>
      <w:tr w14:paraId="4D858C8B">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74168BC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37</w:t>
            </w:r>
          </w:p>
        </w:tc>
        <w:tc>
          <w:tcPr>
            <w:tcW w:w="4783" w:type="dxa"/>
            <w:tcBorders>
              <w:top w:val="nil"/>
              <w:left w:val="nil"/>
              <w:bottom w:val="single" w:color="auto" w:sz="4" w:space="0"/>
              <w:right w:val="single" w:color="auto" w:sz="4" w:space="0"/>
            </w:tcBorders>
            <w:vAlign w:val="center"/>
          </w:tcPr>
          <w:p w14:paraId="112F09EB">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乙方损坏或丢弃甲方设备标示牌及安措警示牌，未及时恢复。</w:t>
            </w:r>
          </w:p>
        </w:tc>
        <w:tc>
          <w:tcPr>
            <w:tcW w:w="3292" w:type="dxa"/>
            <w:tcBorders>
              <w:top w:val="nil"/>
              <w:left w:val="nil"/>
              <w:bottom w:val="single" w:color="auto" w:sz="4" w:space="0"/>
              <w:right w:val="single" w:color="auto" w:sz="4" w:space="0"/>
            </w:tcBorders>
            <w:vAlign w:val="center"/>
          </w:tcPr>
          <w:p w14:paraId="1BD71865">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考核100元－200元/个，并负责恢复。</w:t>
            </w:r>
          </w:p>
        </w:tc>
      </w:tr>
      <w:tr w14:paraId="3CCE70F0">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5863132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38</w:t>
            </w:r>
          </w:p>
        </w:tc>
        <w:tc>
          <w:tcPr>
            <w:tcW w:w="4783" w:type="dxa"/>
            <w:tcBorders>
              <w:top w:val="nil"/>
              <w:left w:val="nil"/>
              <w:bottom w:val="single" w:color="auto" w:sz="4" w:space="0"/>
              <w:right w:val="single" w:color="auto" w:sz="4" w:space="0"/>
            </w:tcBorders>
            <w:vAlign w:val="center"/>
          </w:tcPr>
          <w:p w14:paraId="7D7DA678">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乙方施工废料未分类存管、处置。</w:t>
            </w:r>
          </w:p>
        </w:tc>
        <w:tc>
          <w:tcPr>
            <w:tcW w:w="3292" w:type="dxa"/>
            <w:tcBorders>
              <w:top w:val="nil"/>
              <w:left w:val="nil"/>
              <w:bottom w:val="single" w:color="auto" w:sz="4" w:space="0"/>
              <w:right w:val="single" w:color="auto" w:sz="4" w:space="0"/>
            </w:tcBorders>
            <w:vAlign w:val="center"/>
          </w:tcPr>
          <w:p w14:paraId="7F24B365">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考核500元－2000元元/处。</w:t>
            </w:r>
          </w:p>
        </w:tc>
      </w:tr>
      <w:tr w14:paraId="46530483">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418F217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39</w:t>
            </w:r>
          </w:p>
        </w:tc>
        <w:tc>
          <w:tcPr>
            <w:tcW w:w="4783" w:type="dxa"/>
            <w:tcBorders>
              <w:top w:val="nil"/>
              <w:left w:val="nil"/>
              <w:bottom w:val="single" w:color="auto" w:sz="4" w:space="0"/>
              <w:right w:val="single" w:color="auto" w:sz="4" w:space="0"/>
            </w:tcBorders>
            <w:vAlign w:val="center"/>
          </w:tcPr>
          <w:p w14:paraId="0D1851E5">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乙方员工组织或参与盗窃的事件，或在甲方建设场地内发生公安机关严禁的“黄，赌，毒”事件。</w:t>
            </w:r>
          </w:p>
        </w:tc>
        <w:tc>
          <w:tcPr>
            <w:tcW w:w="3292" w:type="dxa"/>
            <w:tcBorders>
              <w:top w:val="nil"/>
              <w:left w:val="nil"/>
              <w:bottom w:val="single" w:color="auto" w:sz="4" w:space="0"/>
              <w:right w:val="single" w:color="auto" w:sz="4" w:space="0"/>
            </w:tcBorders>
            <w:vAlign w:val="center"/>
          </w:tcPr>
          <w:p w14:paraId="78C0D642">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考核3000元－3万元/次并赔偿甲方经济损失，当事人驱逐出场，情节严重的移交公安部门处理。</w:t>
            </w:r>
          </w:p>
        </w:tc>
      </w:tr>
      <w:tr w14:paraId="370FB1A3">
        <w:tblPrEx>
          <w:tblCellMar>
            <w:top w:w="0" w:type="dxa"/>
            <w:left w:w="108" w:type="dxa"/>
            <w:bottom w:w="0" w:type="dxa"/>
            <w:right w:w="108" w:type="dxa"/>
          </w:tblCellMar>
        </w:tblPrEx>
        <w:trPr>
          <w:trHeight w:val="454" w:hRule="atLeast"/>
          <w:jc w:val="center"/>
        </w:trPr>
        <w:tc>
          <w:tcPr>
            <w:tcW w:w="739" w:type="dxa"/>
            <w:tcBorders>
              <w:top w:val="nil"/>
              <w:left w:val="single" w:color="auto" w:sz="4" w:space="0"/>
              <w:bottom w:val="single" w:color="auto" w:sz="4" w:space="0"/>
              <w:right w:val="single" w:color="auto" w:sz="4" w:space="0"/>
            </w:tcBorders>
            <w:vAlign w:val="center"/>
          </w:tcPr>
          <w:p w14:paraId="0031B28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40</w:t>
            </w:r>
          </w:p>
        </w:tc>
        <w:tc>
          <w:tcPr>
            <w:tcW w:w="4783" w:type="dxa"/>
            <w:tcBorders>
              <w:top w:val="nil"/>
              <w:left w:val="nil"/>
              <w:bottom w:val="single" w:color="auto" w:sz="4" w:space="0"/>
              <w:right w:val="single" w:color="auto" w:sz="4" w:space="0"/>
            </w:tcBorders>
            <w:vAlign w:val="center"/>
          </w:tcPr>
          <w:p w14:paraId="582F15F8">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乙方违反甲方安全管理制度等的其它未列事项。</w:t>
            </w:r>
          </w:p>
        </w:tc>
        <w:tc>
          <w:tcPr>
            <w:tcW w:w="3292" w:type="dxa"/>
            <w:tcBorders>
              <w:top w:val="nil"/>
              <w:left w:val="nil"/>
              <w:bottom w:val="single" w:color="auto" w:sz="4" w:space="0"/>
              <w:right w:val="single" w:color="auto" w:sz="4" w:space="0"/>
            </w:tcBorders>
            <w:vAlign w:val="center"/>
          </w:tcPr>
          <w:p w14:paraId="52169A7F">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考核500元－5000元/次，或按甲方相关专项管理制度执行。</w:t>
            </w:r>
          </w:p>
        </w:tc>
      </w:tr>
    </w:tbl>
    <w:p w14:paraId="24EEF103">
      <w:pP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br w:type="page"/>
      </w:r>
    </w:p>
    <w:p w14:paraId="5F2A135A">
      <w:pPr>
        <w:keepNext w:val="0"/>
        <w:keepLines w:val="0"/>
        <w:pageBreakBefore w:val="0"/>
        <w:widowControl w:val="0"/>
        <w:kinsoku/>
        <w:wordWrap/>
        <w:overflowPunct/>
        <w:topLinePunct w:val="0"/>
        <w:autoSpaceDE/>
        <w:autoSpaceDN/>
        <w:bidi w:val="0"/>
        <w:adjustRightInd/>
        <w:snapToGrid w:val="0"/>
        <w:spacing w:line="360" w:lineRule="auto"/>
        <w:jc w:val="both"/>
        <w:textAlignment w:val="auto"/>
        <w:outlineLvl w:val="1"/>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附件</w:t>
      </w:r>
      <w:r>
        <w:rPr>
          <w:rFonts w:hint="eastAsia" w:ascii="宋体" w:hAnsi="宋体" w:cs="宋体"/>
          <w:b/>
          <w:bCs/>
          <w:sz w:val="28"/>
          <w:szCs w:val="28"/>
          <w:highlight w:val="none"/>
          <w:lang w:val="en-US" w:eastAsia="zh-CN"/>
        </w:rPr>
        <w:t>3</w:t>
      </w:r>
      <w:r>
        <w:rPr>
          <w:rFonts w:hint="eastAsia" w:ascii="宋体" w:hAnsi="宋体" w:eastAsia="宋体" w:cs="宋体"/>
          <w:b/>
          <w:bCs/>
          <w:sz w:val="28"/>
          <w:szCs w:val="28"/>
          <w:highlight w:val="none"/>
          <w:lang w:val="en-US" w:eastAsia="zh-CN"/>
        </w:rPr>
        <w:t xml:space="preserve">： </w:t>
      </w:r>
    </w:p>
    <w:p w14:paraId="62B4448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不拖欠民工工资承诺书</w:t>
      </w:r>
    </w:p>
    <w:p w14:paraId="5FE6719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lang w:val="en-US" w:eastAsia="zh-CN"/>
        </w:rPr>
        <w:t xml:space="preserve"> 福建省工业设备安装</w:t>
      </w:r>
      <w:r>
        <w:rPr>
          <w:rFonts w:hint="eastAsia" w:ascii="宋体" w:hAnsi="宋体" w:eastAsia="宋体" w:cs="宋体"/>
          <w:sz w:val="24"/>
          <w:szCs w:val="24"/>
          <w:highlight w:val="none"/>
          <w:u w:val="single"/>
        </w:rPr>
        <w:t>有限公司</w:t>
      </w:r>
      <w:r>
        <w:rPr>
          <w:rFonts w:hint="eastAsia" w:ascii="宋体" w:hAnsi="宋体" w:eastAsia="宋体" w:cs="宋体"/>
          <w:sz w:val="24"/>
          <w:szCs w:val="24"/>
          <w:highlight w:val="none"/>
          <w:u w:val="single"/>
          <w:lang w:val="en-US" w:eastAsia="zh-CN"/>
        </w:rPr>
        <w:t xml:space="preserve"> </w:t>
      </w:r>
    </w:p>
    <w:p w14:paraId="5F2CAA1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中华人民共和国民法典》，《中华人民共和国建筑法》、《中华人民共和国劳动法》《保障农民工工资支付条例》等法规，国家及省市政府关于不拖欠农民工工资的管理要求，为贯彻国务院《关于全面治理拖欠农民工工资问题的意见》要求，严格遵守国家规定，按照合同要求，保证甲乙双方正常履约，确保实现工程质量和工期目标，我公司特向贵方承诺：</w:t>
      </w:r>
    </w:p>
    <w:p w14:paraId="18A7375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 xml:space="preserve">严格遵守国家和地方政府及贵公司关于不拖欠农民工工资的有关规定。 </w:t>
      </w:r>
    </w:p>
    <w:p w14:paraId="6ECAB4C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我公司保证每月及时、足额支付施工人员</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包括农民工</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当月工资，不以任何形式和借口拖延工资支付，并接受贵方及地方政府或行发包人管部门的监督和检查。并无条件接受相关的处罚。</w:t>
      </w:r>
    </w:p>
    <w:p w14:paraId="54444FA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贵方一经发现我公司存在拖欠参加本工程项目施工人员</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包括农民工</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工资的行为，我公司将无条件筹集资金立即发放所拖欠施工人员</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包括农民工</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工资，并愿意接受贵方的任何形式的违约惩罚措施。</w:t>
      </w:r>
    </w:p>
    <w:p w14:paraId="622247E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我公司承诺一旦发生拖欠施工人员</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包括农民工</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工资的情况，我公司将无条件接受贵方使用农民工工资保证金及代扣本工程项目的进度款直接支付给工人</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包括农民工</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的权利，并对由此造成的一切后果承担全部责任。</w:t>
      </w:r>
    </w:p>
    <w:p w14:paraId="41F3BBE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若由于我公司拖欠施工人员（包括农民工</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工资的行为，导致发生各类上访、斗殴或被地方政府或行发包人管部门及发包人通报等事件，</w:t>
      </w:r>
      <w:r>
        <w:rPr>
          <w:rFonts w:hint="eastAsia" w:ascii="宋体" w:hAnsi="宋体" w:eastAsia="宋体" w:cs="宋体"/>
          <w:sz w:val="24"/>
          <w:szCs w:val="24"/>
          <w:highlight w:val="none"/>
          <w:lang w:val="en-US" w:eastAsia="zh-CN"/>
        </w:rPr>
        <w:t>每发生一起</w:t>
      </w:r>
      <w:r>
        <w:rPr>
          <w:rFonts w:hint="eastAsia" w:ascii="宋体" w:hAnsi="宋体" w:eastAsia="宋体" w:cs="宋体"/>
          <w:sz w:val="24"/>
          <w:szCs w:val="24"/>
          <w:highlight w:val="none"/>
        </w:rPr>
        <w:t>我公司愿意</w:t>
      </w:r>
      <w:r>
        <w:rPr>
          <w:rFonts w:hint="eastAsia" w:ascii="宋体" w:hAnsi="宋体" w:eastAsia="宋体" w:cs="宋体"/>
          <w:sz w:val="24"/>
          <w:szCs w:val="24"/>
          <w:highlight w:val="none"/>
          <w:lang w:val="en-US" w:eastAsia="zh-CN"/>
        </w:rPr>
        <w:t>承担10万元赔偿，并</w:t>
      </w:r>
      <w:r>
        <w:rPr>
          <w:rFonts w:hint="eastAsia" w:ascii="宋体" w:hAnsi="宋体" w:eastAsia="宋体" w:cs="宋体"/>
          <w:sz w:val="24"/>
          <w:szCs w:val="24"/>
          <w:highlight w:val="none"/>
        </w:rPr>
        <w:t>无条件承担一切责任及对贵方造成损失的一切赔偿。</w:t>
      </w:r>
    </w:p>
    <w:p w14:paraId="142BB00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highlight w:val="none"/>
        </w:rPr>
        <w:t>本</w:t>
      </w:r>
      <w:r>
        <w:rPr>
          <w:rFonts w:hint="eastAsia" w:ascii="宋体" w:hAnsi="宋体" w:cs="宋体"/>
          <w:sz w:val="24"/>
          <w:highlight w:val="none"/>
          <w:lang w:val="en-US" w:eastAsia="zh-CN"/>
        </w:rPr>
        <w:t>承诺书随合同</w:t>
      </w:r>
      <w:r>
        <w:rPr>
          <w:rFonts w:hint="eastAsia" w:ascii="宋体" w:hAnsi="宋体" w:eastAsia="宋体" w:cs="宋体"/>
          <w:sz w:val="24"/>
          <w:highlight w:val="none"/>
        </w:rPr>
        <w:t>一式</w:t>
      </w:r>
      <w:r>
        <w:rPr>
          <w:rFonts w:hint="eastAsia" w:ascii="宋体" w:hAnsi="宋体" w:cs="宋体"/>
          <w:sz w:val="24"/>
          <w:highlight w:val="none"/>
          <w:lang w:val="en-US" w:eastAsia="zh-CN"/>
        </w:rPr>
        <w:t>肆</w:t>
      </w:r>
      <w:r>
        <w:rPr>
          <w:rFonts w:hint="eastAsia" w:ascii="宋体" w:hAnsi="宋体" w:eastAsia="宋体" w:cs="宋体"/>
          <w:sz w:val="24"/>
          <w:highlight w:val="none"/>
        </w:rPr>
        <w:t>份，由</w:t>
      </w:r>
      <w:r>
        <w:rPr>
          <w:rFonts w:hint="eastAsia" w:ascii="宋体" w:hAnsi="宋体" w:cs="宋体"/>
          <w:sz w:val="24"/>
          <w:highlight w:val="none"/>
          <w:lang w:val="en-US" w:eastAsia="zh-CN"/>
        </w:rPr>
        <w:t>甲方执叁</w:t>
      </w:r>
      <w:r>
        <w:rPr>
          <w:rFonts w:hint="eastAsia" w:ascii="宋体" w:hAnsi="宋体" w:eastAsia="宋体" w:cs="宋体"/>
          <w:sz w:val="24"/>
          <w:highlight w:val="none"/>
        </w:rPr>
        <w:t>份，</w:t>
      </w:r>
      <w:r>
        <w:rPr>
          <w:rFonts w:hint="eastAsia" w:ascii="宋体" w:hAnsi="宋体" w:cs="宋体"/>
          <w:sz w:val="24"/>
          <w:highlight w:val="none"/>
          <w:lang w:val="en-US" w:eastAsia="zh-CN"/>
        </w:rPr>
        <w:t>乙方执壹份</w:t>
      </w:r>
      <w:r>
        <w:rPr>
          <w:rFonts w:hint="eastAsia" w:ascii="宋体" w:hAnsi="宋体" w:eastAsia="宋体" w:cs="宋体"/>
          <w:sz w:val="24"/>
          <w:highlight w:val="none"/>
        </w:rPr>
        <w:t>。</w:t>
      </w:r>
    </w:p>
    <w:p w14:paraId="376DF098">
      <w:pPr>
        <w:spacing w:line="560" w:lineRule="exact"/>
        <w:ind w:left="3360" w:leftChars="1600"/>
        <w:rPr>
          <w:rFonts w:hint="eastAsia" w:ascii="宋体" w:hAnsi="宋体" w:eastAsia="宋体" w:cs="宋体"/>
          <w:bCs/>
          <w:sz w:val="24"/>
          <w:szCs w:val="24"/>
        </w:rPr>
      </w:pPr>
    </w:p>
    <w:p w14:paraId="5BD65146">
      <w:pPr>
        <w:spacing w:line="560" w:lineRule="exact"/>
        <w:ind w:left="3360" w:leftChars="1600"/>
        <w:rPr>
          <w:rFonts w:hint="eastAsia" w:ascii="宋体" w:hAnsi="宋体" w:eastAsia="宋体" w:cs="宋体"/>
          <w:bCs/>
          <w:sz w:val="24"/>
          <w:szCs w:val="24"/>
        </w:rPr>
      </w:pPr>
      <w:r>
        <w:rPr>
          <w:rFonts w:hint="eastAsia" w:ascii="宋体" w:hAnsi="宋体" w:eastAsia="宋体" w:cs="宋体"/>
          <w:bCs/>
          <w:sz w:val="24"/>
          <w:szCs w:val="24"/>
        </w:rPr>
        <w:t xml:space="preserve">承诺人： </w:t>
      </w:r>
    </w:p>
    <w:p w14:paraId="60BC4686">
      <w:pPr>
        <w:spacing w:line="560" w:lineRule="exact"/>
        <w:ind w:left="3360" w:leftChars="1600"/>
        <w:rPr>
          <w:rFonts w:hint="eastAsia" w:ascii="宋体" w:hAnsi="宋体" w:eastAsia="宋体" w:cs="宋体"/>
          <w:bCs/>
          <w:sz w:val="24"/>
          <w:szCs w:val="24"/>
        </w:rPr>
      </w:pPr>
      <w:r>
        <w:rPr>
          <w:rFonts w:hint="eastAsia" w:ascii="宋体" w:hAnsi="宋体" w:eastAsia="宋体" w:cs="宋体"/>
          <w:bCs/>
          <w:sz w:val="24"/>
          <w:szCs w:val="24"/>
        </w:rPr>
        <w:t>法定代表人</w:t>
      </w:r>
      <w:r>
        <w:rPr>
          <w:rFonts w:hint="eastAsia" w:ascii="宋体" w:hAnsi="宋体" w:cs="宋体"/>
          <w:bCs/>
          <w:sz w:val="24"/>
          <w:szCs w:val="24"/>
          <w:lang w:eastAsia="zh-CN"/>
        </w:rPr>
        <w:t>（</w:t>
      </w:r>
      <w:r>
        <w:rPr>
          <w:rFonts w:hint="eastAsia" w:ascii="宋体" w:hAnsi="宋体" w:eastAsia="宋体" w:cs="宋体"/>
          <w:bCs/>
          <w:sz w:val="24"/>
          <w:szCs w:val="24"/>
        </w:rPr>
        <w:t>或委托代理人</w:t>
      </w:r>
      <w:r>
        <w:rPr>
          <w:rFonts w:hint="eastAsia" w:ascii="宋体" w:hAnsi="宋体" w:cs="宋体"/>
          <w:bCs/>
          <w:sz w:val="24"/>
          <w:szCs w:val="24"/>
          <w:lang w:eastAsia="zh-CN"/>
        </w:rPr>
        <w:t>）</w:t>
      </w:r>
      <w:r>
        <w:rPr>
          <w:rFonts w:hint="eastAsia" w:ascii="宋体" w:hAnsi="宋体" w:eastAsia="宋体" w:cs="宋体"/>
          <w:bCs/>
          <w:sz w:val="24"/>
          <w:szCs w:val="24"/>
        </w:rPr>
        <w:t>：</w:t>
      </w:r>
    </w:p>
    <w:p w14:paraId="340B02C5">
      <w:pPr>
        <w:spacing w:line="560" w:lineRule="exact"/>
        <w:ind w:left="3360" w:leftChars="1600"/>
        <w:rPr>
          <w:rFonts w:hint="eastAsia" w:ascii="宋体" w:hAnsi="宋体" w:eastAsia="宋体" w:cs="宋体"/>
          <w:color w:val="auto"/>
          <w:spacing w:val="10"/>
          <w:sz w:val="24"/>
          <w:szCs w:val="24"/>
          <w:highlight w:val="none"/>
        </w:rPr>
      </w:pPr>
      <w:r>
        <w:rPr>
          <w:rFonts w:hint="eastAsia" w:ascii="宋体" w:hAnsi="宋体" w:eastAsia="宋体" w:cs="宋体"/>
          <w:bCs/>
          <w:sz w:val="24"/>
          <w:szCs w:val="24"/>
        </w:rPr>
        <w:t>日期：</w:t>
      </w:r>
    </w:p>
    <w:p w14:paraId="5048515F">
      <w:pPr>
        <w:snapToGrid w:val="0"/>
        <w:spacing w:line="360" w:lineRule="auto"/>
        <w:ind w:left="0" w:leftChars="0" w:firstLine="0" w:firstLineChars="0"/>
        <w:jc w:val="both"/>
        <w:rPr>
          <w:rFonts w:hint="eastAsia" w:ascii="宋体" w:hAnsi="宋体" w:eastAsia="宋体" w:cs="宋体"/>
          <w:color w:val="auto"/>
          <w:spacing w:val="10"/>
          <w:sz w:val="24"/>
          <w:highlight w:val="none"/>
          <w:lang w:val="en-US" w:eastAsia="zh-CN"/>
        </w:rPr>
      </w:pPr>
    </w:p>
    <w:p w14:paraId="00BF9017">
      <w:pPr>
        <w:snapToGrid w:val="0"/>
        <w:spacing w:line="360" w:lineRule="auto"/>
        <w:jc w:val="center"/>
        <w:rPr>
          <w:rFonts w:hint="eastAsia" w:ascii="宋体" w:hAnsi="宋体" w:eastAsia="宋体" w:cs="宋体"/>
          <w:color w:val="auto"/>
          <w:spacing w:val="10"/>
          <w:sz w:val="24"/>
          <w:highlight w:val="none"/>
          <w:lang w:val="en-US" w:eastAsia="zh-CN"/>
        </w:rPr>
      </w:pPr>
    </w:p>
    <w:p w14:paraId="1F47D44F">
      <w:pPr>
        <w:rPr>
          <w:rFonts w:hint="eastAsia"/>
        </w:rPr>
      </w:pPr>
      <w:r>
        <w:rPr>
          <w:rFonts w:hint="eastAsia" w:ascii="宋体" w:hAnsi="宋体" w:eastAsia="宋体" w:cs="宋体"/>
          <w:color w:val="auto"/>
          <w:spacing w:val="10"/>
          <w:sz w:val="32"/>
          <w:szCs w:val="32"/>
          <w:highlight w:val="none"/>
          <w:lang w:val="en-US" w:eastAsia="zh-CN"/>
        </w:rPr>
        <w:br w:type="page"/>
      </w:r>
    </w:p>
    <w:p w14:paraId="463421BB">
      <w:pPr>
        <w:keepNext w:val="0"/>
        <w:keepLines w:val="0"/>
        <w:pageBreakBefore w:val="0"/>
        <w:widowControl w:val="0"/>
        <w:kinsoku/>
        <w:wordWrap/>
        <w:overflowPunct/>
        <w:topLinePunct w:val="0"/>
        <w:autoSpaceDE/>
        <w:autoSpaceDN/>
        <w:bidi w:val="0"/>
        <w:adjustRightInd/>
        <w:snapToGrid w:val="0"/>
        <w:spacing w:line="360" w:lineRule="auto"/>
        <w:jc w:val="both"/>
        <w:textAlignment w:val="auto"/>
        <w:outlineLvl w:val="1"/>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附件</w:t>
      </w:r>
      <w:r>
        <w:rPr>
          <w:rFonts w:hint="eastAsia" w:ascii="宋体" w:hAnsi="宋体" w:cs="宋体"/>
          <w:b/>
          <w:bCs/>
          <w:sz w:val="28"/>
          <w:szCs w:val="28"/>
          <w:highlight w:val="none"/>
          <w:lang w:val="en-US" w:eastAsia="zh-CN"/>
        </w:rPr>
        <w:t>4</w:t>
      </w:r>
      <w:r>
        <w:rPr>
          <w:rFonts w:hint="eastAsia" w:ascii="宋体" w:hAnsi="宋体" w:eastAsia="宋体" w:cs="宋体"/>
          <w:b/>
          <w:bCs/>
          <w:sz w:val="28"/>
          <w:szCs w:val="28"/>
          <w:highlight w:val="none"/>
          <w:lang w:val="en-US" w:eastAsia="zh-CN"/>
        </w:rPr>
        <w:t xml:space="preserve">： </w:t>
      </w:r>
    </w:p>
    <w:p w14:paraId="3C37072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32"/>
          <w:szCs w:val="32"/>
          <w:highlight w:val="none"/>
          <w:lang w:val="en-US" w:eastAsia="zh-CN"/>
        </w:rPr>
        <w:t>工程款用于发放农民工工资的承诺书</w:t>
      </w:r>
    </w:p>
    <w:p w14:paraId="56E850D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sz w:val="24"/>
          <w:szCs w:val="24"/>
          <w:highlight w:val="yellow"/>
          <w:lang w:val="en-US" w:eastAsia="zh-CN"/>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lang w:val="en-US" w:eastAsia="zh-CN"/>
        </w:rPr>
        <w:t xml:space="preserve"> 福建省工业设备安装</w:t>
      </w:r>
      <w:r>
        <w:rPr>
          <w:rFonts w:hint="eastAsia" w:ascii="宋体" w:hAnsi="宋体" w:eastAsia="宋体" w:cs="宋体"/>
          <w:sz w:val="24"/>
          <w:szCs w:val="24"/>
          <w:highlight w:val="none"/>
          <w:u w:val="single"/>
        </w:rPr>
        <w:t>有限公司</w:t>
      </w:r>
      <w:r>
        <w:rPr>
          <w:rFonts w:hint="eastAsia" w:ascii="宋体" w:hAnsi="宋体" w:eastAsia="宋体" w:cs="宋体"/>
          <w:sz w:val="24"/>
          <w:szCs w:val="24"/>
          <w:highlight w:val="none"/>
          <w:u w:val="single"/>
          <w:lang w:val="en-US" w:eastAsia="zh-CN"/>
        </w:rPr>
        <w:t xml:space="preserve"> </w:t>
      </w:r>
    </w:p>
    <w:p w14:paraId="518FC52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本人</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（身份证号码：</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），系</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none"/>
          <w:lang w:val="en-US" w:eastAsia="zh-CN"/>
        </w:rPr>
        <w:t xml:space="preserve">项目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___________班组负责人。现收到贵方拨付的工程进度款人民币____________元整（大写：____________元整）。  </w:t>
      </w:r>
    </w:p>
    <w:p w14:paraId="043ADB5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本人郑重承诺：  </w:t>
      </w:r>
    </w:p>
    <w:p w14:paraId="3DE6E2C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1. 该笔工程款将优先用于支付农民工工资，并在收到工程款后7日内发放完毕。（具体见工资发放表）  </w:t>
      </w:r>
    </w:p>
    <w:p w14:paraId="3E103B3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2. 若本期进度款金额不足以支付农民工工资，本人将自行垫付资金，确保农民工工资及时足额发放。  </w:t>
      </w:r>
    </w:p>
    <w:p w14:paraId="41970AC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 本期农民工工资金额为</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元，其余款项</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元将支付至本人账户。该款项包含机械费、材料费、管理费及其他工程所需的任何费用。  </w:t>
      </w:r>
    </w:p>
    <w:p w14:paraId="2F4EF71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 后期若发生工人讨薪、供应商催要费用等情况，均由本人承担全部责任，并同意劳务公司对本人进行追偿。</w:t>
      </w:r>
    </w:p>
    <w:p w14:paraId="124E6E7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特此承诺。  </w:t>
      </w:r>
    </w:p>
    <w:p w14:paraId="296A82D3">
      <w:pPr>
        <w:spacing w:line="560" w:lineRule="exact"/>
        <w:ind w:left="3360" w:leftChars="1600"/>
        <w:rPr>
          <w:rFonts w:hint="eastAsia" w:ascii="宋体" w:hAnsi="宋体" w:eastAsia="宋体" w:cs="宋体"/>
          <w:bCs/>
          <w:sz w:val="24"/>
          <w:szCs w:val="24"/>
        </w:rPr>
      </w:pPr>
    </w:p>
    <w:p w14:paraId="762C4C74">
      <w:pPr>
        <w:spacing w:line="560" w:lineRule="exact"/>
        <w:ind w:left="3360" w:leftChars="1600"/>
        <w:rPr>
          <w:rFonts w:hint="eastAsia" w:ascii="宋体" w:hAnsi="宋体" w:eastAsia="宋体" w:cs="宋体"/>
          <w:bCs/>
          <w:sz w:val="24"/>
          <w:szCs w:val="24"/>
        </w:rPr>
      </w:pPr>
    </w:p>
    <w:p w14:paraId="43BF6D22">
      <w:pPr>
        <w:spacing w:line="560" w:lineRule="exact"/>
        <w:ind w:left="3360" w:leftChars="1600"/>
        <w:rPr>
          <w:rFonts w:hint="eastAsia" w:ascii="宋体" w:hAnsi="宋体" w:eastAsia="宋体" w:cs="宋体"/>
          <w:bCs/>
          <w:sz w:val="24"/>
          <w:szCs w:val="24"/>
        </w:rPr>
      </w:pPr>
      <w:r>
        <w:rPr>
          <w:rFonts w:hint="eastAsia" w:ascii="宋体" w:hAnsi="宋体" w:eastAsia="宋体" w:cs="宋体"/>
          <w:bCs/>
          <w:sz w:val="24"/>
          <w:szCs w:val="24"/>
        </w:rPr>
        <w:t xml:space="preserve">承诺人： </w:t>
      </w:r>
    </w:p>
    <w:p w14:paraId="096A7B1B">
      <w:pPr>
        <w:spacing w:line="560" w:lineRule="exact"/>
        <w:ind w:left="3360" w:leftChars="1600"/>
        <w:rPr>
          <w:rFonts w:hint="eastAsia" w:ascii="宋体" w:hAnsi="宋体" w:eastAsia="宋体" w:cs="宋体"/>
          <w:color w:val="auto"/>
          <w:spacing w:val="10"/>
          <w:sz w:val="24"/>
          <w:szCs w:val="24"/>
          <w:highlight w:val="none"/>
        </w:rPr>
      </w:pPr>
      <w:r>
        <w:rPr>
          <w:rFonts w:hint="eastAsia" w:ascii="宋体" w:hAnsi="宋体" w:eastAsia="宋体" w:cs="宋体"/>
          <w:bCs/>
          <w:sz w:val="24"/>
          <w:szCs w:val="24"/>
        </w:rPr>
        <w:t>日期：</w:t>
      </w:r>
    </w:p>
    <w:p w14:paraId="69DE5095">
      <w:pPr>
        <w:rPr>
          <w:rFonts w:hint="eastAsia" w:ascii="宋体" w:hAnsi="宋体" w:cs="宋体"/>
          <w:sz w:val="24"/>
          <w:szCs w:val="24"/>
          <w:highlight w:val="yellow"/>
          <w:lang w:val="en-US" w:eastAsia="zh-CN"/>
        </w:rPr>
      </w:pPr>
    </w:p>
    <w:p w14:paraId="54A6904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val="en-US" w:eastAsia="zh-CN"/>
        </w:rPr>
      </w:pPr>
    </w:p>
    <w:p w14:paraId="41B283B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此承诺书旨在确保工程款优先用于支付农民工工资，保障农民工合法权益，维护工程项目的顺利进行。</w:t>
      </w:r>
      <w:r>
        <w:rPr>
          <w:rFonts w:hint="eastAsia" w:ascii="宋体" w:hAnsi="宋体" w:eastAsia="宋体" w:cs="宋体"/>
          <w:sz w:val="24"/>
          <w:szCs w:val="24"/>
          <w:highlight w:val="none"/>
          <w:lang w:val="en-US" w:eastAsia="zh-CN"/>
        </w:rPr>
        <w:br w:type="page"/>
      </w:r>
    </w:p>
    <w:p w14:paraId="3BAB6EEE">
      <w:pPr>
        <w:keepNext w:val="0"/>
        <w:keepLines w:val="0"/>
        <w:pageBreakBefore w:val="0"/>
        <w:widowControl w:val="0"/>
        <w:kinsoku/>
        <w:wordWrap/>
        <w:overflowPunct/>
        <w:topLinePunct w:val="0"/>
        <w:autoSpaceDE/>
        <w:autoSpaceDN/>
        <w:bidi w:val="0"/>
        <w:adjustRightInd/>
        <w:snapToGrid w:val="0"/>
        <w:spacing w:line="360" w:lineRule="auto"/>
        <w:jc w:val="both"/>
        <w:textAlignment w:val="auto"/>
        <w:outlineLvl w:val="1"/>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附件</w:t>
      </w:r>
      <w:r>
        <w:rPr>
          <w:rFonts w:hint="eastAsia" w:ascii="宋体" w:hAnsi="宋体" w:cs="宋体"/>
          <w:b/>
          <w:bCs/>
          <w:sz w:val="28"/>
          <w:szCs w:val="28"/>
          <w:highlight w:val="none"/>
          <w:lang w:val="en-US" w:eastAsia="zh-CN"/>
        </w:rPr>
        <w:t>5</w:t>
      </w:r>
      <w:r>
        <w:rPr>
          <w:rFonts w:hint="eastAsia" w:ascii="宋体" w:hAnsi="宋体" w:eastAsia="宋体" w:cs="宋体"/>
          <w:b/>
          <w:bCs/>
          <w:sz w:val="28"/>
          <w:szCs w:val="28"/>
          <w:highlight w:val="none"/>
          <w:lang w:val="en-US" w:eastAsia="zh-CN"/>
        </w:rPr>
        <w:t>：</w:t>
      </w:r>
    </w:p>
    <w:p w14:paraId="2457608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关于变更签证承诺</w:t>
      </w:r>
    </w:p>
    <w:p w14:paraId="6032C59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lang w:val="en-US" w:eastAsia="zh-CN"/>
        </w:rPr>
        <w:t>致：</w:t>
      </w:r>
      <w:r>
        <w:rPr>
          <w:rFonts w:hint="eastAsia" w:ascii="宋体" w:hAnsi="宋体" w:eastAsia="宋体" w:cs="宋体"/>
          <w:sz w:val="24"/>
          <w:szCs w:val="24"/>
          <w:highlight w:val="none"/>
          <w:u w:val="single"/>
          <w:lang w:val="en-US" w:eastAsia="zh-CN"/>
        </w:rPr>
        <w:t xml:space="preserve"> 福建省工业设备安装</w:t>
      </w:r>
      <w:r>
        <w:rPr>
          <w:rFonts w:hint="eastAsia" w:ascii="宋体" w:hAnsi="宋体" w:eastAsia="宋体" w:cs="宋体"/>
          <w:sz w:val="24"/>
          <w:szCs w:val="24"/>
          <w:highlight w:val="none"/>
          <w:u w:val="single"/>
        </w:rPr>
        <w:t>有限公司</w:t>
      </w:r>
      <w:r>
        <w:rPr>
          <w:rFonts w:hint="eastAsia" w:ascii="宋体" w:hAnsi="宋体" w:eastAsia="宋体" w:cs="宋体"/>
          <w:sz w:val="24"/>
          <w:szCs w:val="24"/>
          <w:highlight w:val="none"/>
          <w:u w:val="single"/>
          <w:lang w:val="en-US" w:eastAsia="zh-CN"/>
        </w:rPr>
        <w:t xml:space="preserve"> </w:t>
      </w:r>
    </w:p>
    <w:p w14:paraId="0F90258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本人已充分了解关于本合同工程变更条款，同意按合同要求办理工程签证手续，无技术负责人、费控负责人、项目经理签字一律属于无效签证，签证需提交工程联络单及签证单。</w:t>
      </w:r>
    </w:p>
    <w:p w14:paraId="6282CA4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人知悉本合同单价均已包括了实施和完成合同项目所应计取的所有（包括但不限于）人工费、机械费、辅材费、安全文明施工费用（含安全带、防滑鞋等除安全网由甲方提供乙方搭设）、卫生清运、临时电缆电箱布置、现场监护、作业票开具及误工、配合现场小修改、工人意外伤害保险、现场安全劳保费用、进退场费、差旅费、通讯费、食宿费、社保费、材料设备卸车、多次转运、试压所需临时短接及试压盲板拆装、监护人员、写作业票、现场开票时间误工、配合现场小修改、工人意外伤害保险、现场安全劳保费用、进退场费、差旅费、通讯费、食宿费、社保费、材料设备卸车、多次转运、施工和生活水电费、管理费、利润及验收配合、增值税及附加和其他税费等所有费用。保运费及施工过程中所含的安全文明施工费等一切除以上清单项中的其他费用（4米以下采用移动式门式脚手架由乙自行搭拆并承担费用，移动式门式脚手需符合国家及浙石化规定）</w:t>
      </w:r>
    </w:p>
    <w:p w14:paraId="3D7062B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工程变更同意按工程量计算，不签署点工，有合同单价的执行合同单价、无合同单价的参考优先参考《石油化工安装工程预算定额（2019 版）》次选《石油化工行业检修工程预算定额》（2021版）、2018版浙江省相关专业定额，费用定额按甲方与业主所签合同的50%计取。</w:t>
      </w:r>
    </w:p>
    <w:p w14:paraId="6BC6416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highlight w:val="none"/>
        </w:rPr>
        <w:t>本</w:t>
      </w:r>
      <w:r>
        <w:rPr>
          <w:rFonts w:hint="eastAsia" w:ascii="宋体" w:hAnsi="宋体" w:cs="宋体"/>
          <w:sz w:val="24"/>
          <w:highlight w:val="none"/>
          <w:lang w:val="en-US" w:eastAsia="zh-CN"/>
        </w:rPr>
        <w:t>承诺书随合同</w:t>
      </w:r>
      <w:r>
        <w:rPr>
          <w:rFonts w:hint="eastAsia" w:ascii="宋体" w:hAnsi="宋体" w:eastAsia="宋体" w:cs="宋体"/>
          <w:sz w:val="24"/>
          <w:highlight w:val="none"/>
        </w:rPr>
        <w:t>一式</w:t>
      </w:r>
      <w:r>
        <w:rPr>
          <w:rFonts w:hint="eastAsia" w:ascii="宋体" w:hAnsi="宋体" w:cs="宋体"/>
          <w:sz w:val="24"/>
          <w:highlight w:val="none"/>
          <w:lang w:val="en-US" w:eastAsia="zh-CN"/>
        </w:rPr>
        <w:t>肆</w:t>
      </w:r>
      <w:r>
        <w:rPr>
          <w:rFonts w:hint="eastAsia" w:ascii="宋体" w:hAnsi="宋体" w:eastAsia="宋体" w:cs="宋体"/>
          <w:sz w:val="24"/>
          <w:highlight w:val="none"/>
        </w:rPr>
        <w:t>份，由</w:t>
      </w:r>
      <w:r>
        <w:rPr>
          <w:rFonts w:hint="eastAsia" w:ascii="宋体" w:hAnsi="宋体" w:cs="宋体"/>
          <w:sz w:val="24"/>
          <w:highlight w:val="none"/>
          <w:lang w:val="en-US" w:eastAsia="zh-CN"/>
        </w:rPr>
        <w:t>甲方执叁</w:t>
      </w:r>
      <w:r>
        <w:rPr>
          <w:rFonts w:hint="eastAsia" w:ascii="宋体" w:hAnsi="宋体" w:eastAsia="宋体" w:cs="宋体"/>
          <w:sz w:val="24"/>
          <w:highlight w:val="none"/>
        </w:rPr>
        <w:t>份，</w:t>
      </w:r>
      <w:r>
        <w:rPr>
          <w:rFonts w:hint="eastAsia" w:ascii="宋体" w:hAnsi="宋体" w:cs="宋体"/>
          <w:sz w:val="24"/>
          <w:highlight w:val="none"/>
          <w:lang w:val="en-US" w:eastAsia="zh-CN"/>
        </w:rPr>
        <w:t>乙方执壹份</w:t>
      </w:r>
      <w:r>
        <w:rPr>
          <w:rFonts w:hint="eastAsia" w:ascii="宋体" w:hAnsi="宋体" w:eastAsia="宋体" w:cs="宋体"/>
          <w:sz w:val="24"/>
          <w:highlight w:val="none"/>
        </w:rPr>
        <w:t>。</w:t>
      </w:r>
    </w:p>
    <w:p w14:paraId="57E654E1">
      <w:pPr>
        <w:snapToGrid w:val="0"/>
        <w:spacing w:line="360" w:lineRule="auto"/>
        <w:ind w:left="0" w:leftChars="0" w:firstLine="0" w:firstLineChars="0"/>
        <w:jc w:val="both"/>
        <w:rPr>
          <w:rFonts w:hint="eastAsia" w:ascii="宋体" w:hAnsi="宋体" w:eastAsia="宋体" w:cs="宋体"/>
          <w:color w:val="auto"/>
          <w:spacing w:val="10"/>
          <w:sz w:val="24"/>
          <w:highlight w:val="yellow"/>
          <w:lang w:val="en-US" w:eastAsia="zh-CN"/>
        </w:rPr>
      </w:pPr>
    </w:p>
    <w:p w14:paraId="78B572D9">
      <w:pPr>
        <w:rPr>
          <w:rFonts w:hint="eastAsia" w:asciiTheme="minorEastAsia" w:hAnsiTheme="minorEastAsia" w:eastAsiaTheme="minorEastAsia" w:cstheme="minorEastAsia"/>
          <w:b/>
          <w:bCs/>
          <w:color w:val="000000"/>
          <w:sz w:val="28"/>
          <w:szCs w:val="28"/>
          <w:highlight w:val="yellow"/>
          <w:lang w:val="en-US" w:eastAsia="zh-CN"/>
        </w:rPr>
      </w:pPr>
      <w:r>
        <w:rPr>
          <w:rFonts w:hint="eastAsia" w:asciiTheme="minorEastAsia" w:hAnsiTheme="minorEastAsia" w:eastAsiaTheme="minorEastAsia" w:cstheme="minorEastAsia"/>
          <w:b/>
          <w:bCs/>
          <w:color w:val="000000"/>
          <w:sz w:val="28"/>
          <w:szCs w:val="28"/>
          <w:highlight w:val="yellow"/>
          <w:lang w:val="en-US" w:eastAsia="zh-CN"/>
        </w:rPr>
        <w:br w:type="page"/>
      </w:r>
    </w:p>
    <w:tbl>
      <w:tblPr>
        <w:tblStyle w:val="17"/>
        <w:tblW w:w="96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21"/>
        <w:gridCol w:w="1314"/>
        <w:gridCol w:w="511"/>
        <w:gridCol w:w="1722"/>
        <w:gridCol w:w="1254"/>
        <w:gridCol w:w="3102"/>
      </w:tblGrid>
      <w:tr w14:paraId="603D25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35" w:type="dxa"/>
            <w:gridSpan w:val="2"/>
            <w:vMerge w:val="restart"/>
            <w:tcBorders>
              <w:top w:val="single" w:color="auto" w:sz="12" w:space="0"/>
              <w:left w:val="single" w:color="auto" w:sz="12" w:space="0"/>
              <w:bottom w:val="single" w:color="auto" w:sz="4" w:space="0"/>
              <w:right w:val="single" w:color="auto" w:sz="4" w:space="0"/>
            </w:tcBorders>
            <w:noWrap w:val="0"/>
            <w:vAlign w:val="center"/>
          </w:tcPr>
          <w:p w14:paraId="589EAFD9">
            <w:pPr>
              <w:rPr>
                <w:rFonts w:hint="eastAsia" w:ascii="宋体" w:hAnsi="宋体" w:eastAsia="宋体" w:cs="宋体"/>
                <w:kern w:val="0"/>
                <w:sz w:val="24"/>
                <w:highlight w:val="none"/>
              </w:rPr>
            </w:pPr>
            <w:r>
              <w:rPr>
                <w:rFonts w:hint="eastAsia" w:asciiTheme="minorEastAsia" w:hAnsiTheme="minorEastAsia" w:eastAsiaTheme="minorEastAsia" w:cstheme="minorEastAsia"/>
                <w:b/>
                <w:bCs/>
                <w:color w:val="000000"/>
                <w:sz w:val="28"/>
                <w:szCs w:val="28"/>
                <w:highlight w:val="none"/>
                <w:lang w:val="en-US" w:eastAsia="zh-CN"/>
              </w:rPr>
              <w:br w:type="page"/>
            </w:r>
            <w:r>
              <w:rPr>
                <w:rFonts w:hint="eastAsia" w:asciiTheme="minorEastAsia" w:hAnsiTheme="minorEastAsia" w:eastAsiaTheme="minorEastAsia" w:cstheme="minorEastAsia"/>
                <w:b/>
                <w:bCs/>
                <w:color w:val="000000"/>
                <w:sz w:val="28"/>
                <w:szCs w:val="28"/>
                <w:highlight w:val="none"/>
                <w:lang w:val="en-US" w:eastAsia="zh-CN"/>
              </w:rPr>
              <w:br w:type="page"/>
            </w:r>
            <w:r>
              <w:rPr>
                <w:rFonts w:hint="eastAsia" w:ascii="宋体" w:hAnsi="宋体" w:eastAsia="宋体" w:cs="宋体"/>
                <w:kern w:val="0"/>
                <w:sz w:val="24"/>
                <w:highlight w:val="none"/>
              </w:rPr>
              <w:t>工程名称:</w:t>
            </w:r>
          </w:p>
        </w:tc>
        <w:tc>
          <w:tcPr>
            <w:tcW w:w="3487" w:type="dxa"/>
            <w:gridSpan w:val="3"/>
            <w:vMerge w:val="restart"/>
            <w:tcBorders>
              <w:top w:val="single" w:color="auto" w:sz="12" w:space="0"/>
              <w:left w:val="single" w:color="auto" w:sz="4" w:space="0"/>
              <w:bottom w:val="single" w:color="auto" w:sz="4" w:space="0"/>
              <w:right w:val="single" w:color="auto" w:sz="4" w:space="0"/>
            </w:tcBorders>
            <w:noWrap w:val="0"/>
            <w:vAlign w:val="center"/>
          </w:tcPr>
          <w:p w14:paraId="621F31D0">
            <w:pPr>
              <w:pageBreakBefore w:val="0"/>
              <w:widowControl/>
              <w:kinsoku/>
              <w:wordWrap/>
              <w:overflowPunct/>
              <w:topLinePunct w:val="0"/>
              <w:autoSpaceDE/>
              <w:autoSpaceDN/>
              <w:bidi w:val="0"/>
              <w:adjustRightInd/>
              <w:spacing w:line="240" w:lineRule="auto"/>
              <w:ind w:left="0" w:right="0" w:firstLine="0" w:firstLineChars="0"/>
              <w:jc w:val="center"/>
              <w:textAlignment w:val="auto"/>
              <w:outlineLvl w:val="9"/>
              <w:rPr>
                <w:rFonts w:hint="eastAsia" w:ascii="宋体" w:hAnsi="宋体" w:eastAsia="宋体" w:cs="宋体"/>
                <w:kern w:val="0"/>
                <w:sz w:val="24"/>
                <w:highlight w:val="none"/>
              </w:rPr>
            </w:pPr>
            <w:r>
              <w:rPr>
                <w:rFonts w:hint="eastAsia" w:ascii="宋体" w:hAnsi="宋体" w:eastAsia="宋体" w:cs="宋体"/>
                <w:b/>
                <w:bCs/>
                <w:kern w:val="0"/>
                <w:sz w:val="32"/>
                <w:szCs w:val="32"/>
                <w:highlight w:val="none"/>
              </w:rPr>
              <w:t>工程联络单</w:t>
            </w:r>
          </w:p>
        </w:tc>
        <w:tc>
          <w:tcPr>
            <w:tcW w:w="3102" w:type="dxa"/>
            <w:tcBorders>
              <w:top w:val="single" w:color="auto" w:sz="12" w:space="0"/>
              <w:left w:val="single" w:color="auto" w:sz="4" w:space="0"/>
              <w:bottom w:val="single" w:color="auto" w:sz="4" w:space="0"/>
              <w:right w:val="single" w:color="auto" w:sz="12" w:space="0"/>
            </w:tcBorders>
            <w:noWrap w:val="0"/>
            <w:vAlign w:val="center"/>
          </w:tcPr>
          <w:p w14:paraId="4E4A36F5">
            <w:pPr>
              <w:pageBreakBefore w:val="0"/>
              <w:widowControl/>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主项名称：</w:t>
            </w:r>
          </w:p>
        </w:tc>
      </w:tr>
      <w:tr w14:paraId="2983E9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35" w:type="dxa"/>
            <w:gridSpan w:val="2"/>
            <w:vMerge w:val="continue"/>
            <w:tcBorders>
              <w:top w:val="single" w:color="auto" w:sz="4" w:space="0"/>
              <w:left w:val="single" w:color="auto" w:sz="12" w:space="0"/>
              <w:bottom w:val="single" w:color="auto" w:sz="4" w:space="0"/>
              <w:right w:val="single" w:color="auto" w:sz="4" w:space="0"/>
            </w:tcBorders>
            <w:noWrap w:val="0"/>
            <w:vAlign w:val="center"/>
          </w:tcPr>
          <w:p w14:paraId="0259A327">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kern w:val="0"/>
                <w:sz w:val="24"/>
                <w:highlight w:val="none"/>
              </w:rPr>
            </w:pPr>
          </w:p>
        </w:tc>
        <w:tc>
          <w:tcPr>
            <w:tcW w:w="3487"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1835720F">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kern w:val="0"/>
                <w:sz w:val="24"/>
                <w:highlight w:val="none"/>
              </w:rPr>
            </w:pPr>
          </w:p>
        </w:tc>
        <w:tc>
          <w:tcPr>
            <w:tcW w:w="3102" w:type="dxa"/>
            <w:tcBorders>
              <w:top w:val="single" w:color="auto" w:sz="4" w:space="0"/>
              <w:left w:val="single" w:color="auto" w:sz="4" w:space="0"/>
              <w:bottom w:val="single" w:color="auto" w:sz="4" w:space="0"/>
              <w:right w:val="single" w:color="auto" w:sz="12" w:space="0"/>
            </w:tcBorders>
            <w:noWrap w:val="0"/>
            <w:vAlign w:val="center"/>
          </w:tcPr>
          <w:p w14:paraId="50C4BD79">
            <w:pPr>
              <w:pageBreakBefore w:val="0"/>
              <w:widowControl/>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主项号：</w:t>
            </w:r>
          </w:p>
        </w:tc>
      </w:tr>
      <w:tr w14:paraId="60E13F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1" w:type="dxa"/>
            <w:tcBorders>
              <w:top w:val="single" w:color="auto" w:sz="4" w:space="0"/>
              <w:left w:val="single" w:color="auto" w:sz="12" w:space="0"/>
              <w:bottom w:val="single" w:color="auto" w:sz="4" w:space="0"/>
              <w:right w:val="single" w:color="auto" w:sz="4" w:space="0"/>
            </w:tcBorders>
            <w:noWrap w:val="0"/>
            <w:vAlign w:val="center"/>
          </w:tcPr>
          <w:p w14:paraId="113BC593">
            <w:pPr>
              <w:pageBreakBefore w:val="0"/>
              <w:widowControl/>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联络单编号</w:t>
            </w:r>
          </w:p>
        </w:tc>
        <w:tc>
          <w:tcPr>
            <w:tcW w:w="3547" w:type="dxa"/>
            <w:gridSpan w:val="3"/>
            <w:tcBorders>
              <w:top w:val="single" w:color="auto" w:sz="4" w:space="0"/>
              <w:left w:val="single" w:color="auto" w:sz="4" w:space="0"/>
              <w:bottom w:val="single" w:color="auto" w:sz="4" w:space="0"/>
              <w:right w:val="single" w:color="auto" w:sz="4" w:space="0"/>
            </w:tcBorders>
            <w:noWrap w:val="0"/>
            <w:vAlign w:val="center"/>
          </w:tcPr>
          <w:p w14:paraId="72268594">
            <w:pPr>
              <w:pageBreakBefore w:val="0"/>
              <w:widowControl/>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kern w:val="0"/>
                <w:szCs w:val="21"/>
                <w:highlight w:val="none"/>
              </w:rPr>
            </w:pPr>
          </w:p>
        </w:tc>
        <w:tc>
          <w:tcPr>
            <w:tcW w:w="1254" w:type="dxa"/>
            <w:tcBorders>
              <w:top w:val="single" w:color="auto" w:sz="4" w:space="0"/>
              <w:left w:val="single" w:color="auto" w:sz="4" w:space="0"/>
              <w:bottom w:val="single" w:color="auto" w:sz="4" w:space="0"/>
              <w:right w:val="single" w:color="auto" w:sz="4" w:space="0"/>
            </w:tcBorders>
            <w:noWrap w:val="0"/>
            <w:vAlign w:val="center"/>
          </w:tcPr>
          <w:p w14:paraId="4ED8CDB3">
            <w:pPr>
              <w:pageBreakBefore w:val="0"/>
              <w:widowControl/>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送达单位</w:t>
            </w:r>
          </w:p>
        </w:tc>
        <w:tc>
          <w:tcPr>
            <w:tcW w:w="3102" w:type="dxa"/>
            <w:tcBorders>
              <w:top w:val="single" w:color="auto" w:sz="4" w:space="0"/>
              <w:left w:val="single" w:color="auto" w:sz="4" w:space="0"/>
              <w:bottom w:val="single" w:color="auto" w:sz="4" w:space="0"/>
              <w:right w:val="single" w:color="auto" w:sz="12" w:space="0"/>
            </w:tcBorders>
            <w:noWrap w:val="0"/>
            <w:vAlign w:val="center"/>
          </w:tcPr>
          <w:p w14:paraId="15F716FB">
            <w:pPr>
              <w:pageBreakBefore w:val="0"/>
              <w:widowControl/>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kern w:val="0"/>
                <w:szCs w:val="21"/>
                <w:highlight w:val="none"/>
                <w:lang w:val="en-US" w:eastAsia="zh-CN"/>
              </w:rPr>
            </w:pPr>
            <w:r>
              <w:rPr>
                <w:rFonts w:hint="eastAsia" w:ascii="宋体" w:hAnsi="宋体" w:eastAsia="宋体" w:cs="宋体"/>
                <w:kern w:val="0"/>
                <w:sz w:val="21"/>
                <w:szCs w:val="21"/>
                <w:highlight w:val="none"/>
                <w:lang w:val="en-US" w:eastAsia="zh-CN"/>
              </w:rPr>
              <w:t>福建省工业设备安装有限公司</w:t>
            </w:r>
          </w:p>
        </w:tc>
      </w:tr>
      <w:tr w14:paraId="2B7030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24" w:type="dxa"/>
            <w:gridSpan w:val="6"/>
            <w:tcBorders>
              <w:top w:val="single" w:color="auto" w:sz="4" w:space="0"/>
              <w:left w:val="single" w:color="auto" w:sz="12" w:space="0"/>
              <w:bottom w:val="single" w:color="auto" w:sz="4" w:space="0"/>
              <w:right w:val="single" w:color="auto" w:sz="12" w:space="0"/>
            </w:tcBorders>
            <w:noWrap w:val="0"/>
            <w:vAlign w:val="center"/>
          </w:tcPr>
          <w:p w14:paraId="355B2C51">
            <w:pPr>
              <w:pageBreakBefore w:val="0"/>
              <w:widowControl/>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联络事项及内容：</w:t>
            </w:r>
          </w:p>
          <w:p w14:paraId="0CA54A28">
            <w:pPr>
              <w:pStyle w:val="44"/>
              <w:pageBreakBefore w:val="0"/>
              <w:numPr>
                <w:ilvl w:val="0"/>
                <w:numId w:val="0"/>
              </w:numPr>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4"/>
                <w:szCs w:val="24"/>
                <w:highlight w:val="none"/>
                <w:lang w:val="en-US"/>
              </w:rPr>
            </w:pPr>
            <w:r>
              <w:rPr>
                <w:rFonts w:hint="eastAsia" w:ascii="宋体" w:hAnsi="宋体" w:eastAsia="宋体" w:cs="宋体"/>
                <w:kern w:val="0"/>
                <w:sz w:val="21"/>
                <w:szCs w:val="21"/>
                <w:highlight w:val="none"/>
                <w:lang w:val="en-US" w:eastAsia="zh-CN" w:bidi="ar-SA"/>
              </w:rPr>
              <w:t>某某项目，什么时间，什么地点，因为什么原因需要变更，变更依据</w:t>
            </w:r>
          </w:p>
          <w:p w14:paraId="197244F3">
            <w:pPr>
              <w:pStyle w:val="44"/>
              <w:pageBreakBefore w:val="0"/>
              <w:numPr>
                <w:ilvl w:val="0"/>
                <w:numId w:val="0"/>
              </w:numPr>
              <w:kinsoku/>
              <w:wordWrap/>
              <w:overflowPunct/>
              <w:topLinePunct w:val="0"/>
              <w:autoSpaceDE/>
              <w:autoSpaceDN/>
              <w:bidi w:val="0"/>
              <w:adjustRightInd/>
              <w:spacing w:line="240" w:lineRule="auto"/>
              <w:ind w:left="0" w:leftChars="0" w:right="0" w:firstLine="0" w:firstLineChars="0"/>
              <w:jc w:val="left"/>
              <w:textAlignment w:val="auto"/>
              <w:outlineLvl w:val="9"/>
              <w:rPr>
                <w:rFonts w:hint="eastAsia" w:ascii="宋体" w:hAnsi="宋体" w:eastAsia="宋体" w:cs="宋体"/>
                <w:sz w:val="24"/>
                <w:szCs w:val="24"/>
                <w:highlight w:val="none"/>
              </w:rPr>
            </w:pPr>
          </w:p>
          <w:p w14:paraId="2AFF6023">
            <w:pPr>
              <w:pStyle w:val="44"/>
              <w:pageBreakBefore w:val="0"/>
              <w:numPr>
                <w:ilvl w:val="0"/>
                <w:numId w:val="0"/>
              </w:numPr>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4"/>
                <w:szCs w:val="24"/>
                <w:highlight w:val="none"/>
              </w:rPr>
            </w:pPr>
          </w:p>
          <w:p w14:paraId="6E5ED6F2">
            <w:pPr>
              <w:pStyle w:val="44"/>
              <w:pageBreakBefore w:val="0"/>
              <w:numPr>
                <w:ilvl w:val="0"/>
                <w:numId w:val="0"/>
              </w:numPr>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4"/>
                <w:szCs w:val="24"/>
                <w:highlight w:val="none"/>
              </w:rPr>
            </w:pPr>
          </w:p>
          <w:p w14:paraId="54A5DAD3">
            <w:pPr>
              <w:pStyle w:val="44"/>
              <w:pageBreakBefore w:val="0"/>
              <w:numPr>
                <w:ilvl w:val="0"/>
                <w:numId w:val="0"/>
              </w:numPr>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4"/>
                <w:szCs w:val="24"/>
                <w:highlight w:val="none"/>
              </w:rPr>
            </w:pPr>
          </w:p>
          <w:p w14:paraId="6BF7A124">
            <w:pPr>
              <w:pStyle w:val="44"/>
              <w:pageBreakBefore w:val="0"/>
              <w:numPr>
                <w:ilvl w:val="0"/>
                <w:numId w:val="0"/>
              </w:numPr>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4"/>
                <w:szCs w:val="24"/>
                <w:highlight w:val="none"/>
              </w:rPr>
            </w:pPr>
          </w:p>
          <w:p w14:paraId="08AE05FC">
            <w:pPr>
              <w:pStyle w:val="44"/>
              <w:pageBreakBefore w:val="0"/>
              <w:numPr>
                <w:ilvl w:val="0"/>
                <w:numId w:val="0"/>
              </w:numPr>
              <w:kinsoku/>
              <w:wordWrap/>
              <w:overflowPunct/>
              <w:topLinePunct w:val="0"/>
              <w:autoSpaceDE/>
              <w:autoSpaceDN/>
              <w:bidi w:val="0"/>
              <w:adjustRightInd/>
              <w:spacing w:line="240" w:lineRule="auto"/>
              <w:ind w:left="0" w:leftChars="0" w:right="0" w:firstLine="0" w:firstLineChars="0"/>
              <w:jc w:val="left"/>
              <w:textAlignment w:val="auto"/>
              <w:outlineLvl w:val="9"/>
              <w:rPr>
                <w:rFonts w:hint="eastAsia" w:ascii="宋体" w:hAnsi="宋体" w:eastAsia="宋体" w:cs="宋体"/>
                <w:sz w:val="24"/>
                <w:szCs w:val="24"/>
                <w:highlight w:val="none"/>
              </w:rPr>
            </w:pPr>
          </w:p>
          <w:p w14:paraId="7C8C9B42">
            <w:pPr>
              <w:pStyle w:val="44"/>
              <w:pageBreakBefore w:val="0"/>
              <w:numPr>
                <w:ilvl w:val="0"/>
                <w:numId w:val="0"/>
              </w:numPr>
              <w:kinsoku/>
              <w:wordWrap/>
              <w:overflowPunct/>
              <w:topLinePunct w:val="0"/>
              <w:autoSpaceDE/>
              <w:autoSpaceDN/>
              <w:bidi w:val="0"/>
              <w:adjustRightInd/>
              <w:spacing w:line="240" w:lineRule="auto"/>
              <w:ind w:left="0" w:leftChars="0" w:right="0" w:firstLine="0" w:firstLineChars="0"/>
              <w:jc w:val="left"/>
              <w:textAlignment w:val="auto"/>
              <w:outlineLvl w:val="9"/>
              <w:rPr>
                <w:rFonts w:hint="eastAsia" w:ascii="宋体" w:hAnsi="宋体" w:eastAsia="宋体" w:cs="宋体"/>
                <w:sz w:val="24"/>
                <w:szCs w:val="24"/>
                <w:highlight w:val="none"/>
              </w:rPr>
            </w:pPr>
          </w:p>
          <w:p w14:paraId="50043535">
            <w:pPr>
              <w:pStyle w:val="44"/>
              <w:pageBreakBefore w:val="0"/>
              <w:numPr>
                <w:ilvl w:val="0"/>
                <w:numId w:val="0"/>
              </w:numPr>
              <w:kinsoku/>
              <w:wordWrap/>
              <w:overflowPunct/>
              <w:topLinePunct w:val="0"/>
              <w:autoSpaceDE/>
              <w:autoSpaceDN/>
              <w:bidi w:val="0"/>
              <w:adjustRightInd/>
              <w:spacing w:line="240" w:lineRule="auto"/>
              <w:ind w:left="0" w:leftChars="0" w:right="0" w:firstLine="0" w:firstLineChars="0"/>
              <w:jc w:val="left"/>
              <w:textAlignment w:val="auto"/>
              <w:outlineLvl w:val="9"/>
              <w:rPr>
                <w:rFonts w:hint="eastAsia" w:ascii="宋体" w:hAnsi="宋体" w:eastAsia="宋体" w:cs="宋体"/>
                <w:sz w:val="24"/>
                <w:szCs w:val="24"/>
                <w:highlight w:val="none"/>
              </w:rPr>
            </w:pPr>
          </w:p>
          <w:p w14:paraId="53104A7E">
            <w:pPr>
              <w:pStyle w:val="44"/>
              <w:pageBreakBefore w:val="0"/>
              <w:numPr>
                <w:ilvl w:val="0"/>
                <w:numId w:val="0"/>
              </w:numPr>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4"/>
                <w:szCs w:val="24"/>
                <w:highlight w:val="none"/>
              </w:rPr>
            </w:pPr>
          </w:p>
          <w:p w14:paraId="43AB3907">
            <w:pPr>
              <w:pStyle w:val="44"/>
              <w:pageBreakBefore w:val="0"/>
              <w:widowControl w:val="0"/>
              <w:numPr>
                <w:ilvl w:val="0"/>
                <w:numId w:val="0"/>
              </w:numPr>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color w:val="000000"/>
                <w:szCs w:val="21"/>
                <w:highlight w:val="none"/>
              </w:rPr>
            </w:pPr>
          </w:p>
          <w:p w14:paraId="7B599EE8">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w:t>
            </w:r>
          </w:p>
          <w:p w14:paraId="681844A1">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rPr>
              <w:t>提出单位：</w:t>
            </w:r>
          </w:p>
          <w:p w14:paraId="084A18E0">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kern w:val="0"/>
                <w:sz w:val="24"/>
                <w:highlight w:val="none"/>
              </w:rPr>
            </w:pPr>
            <w:r>
              <w:rPr>
                <w:rFonts w:hint="eastAsia" w:ascii="宋体" w:hAnsi="宋体" w:eastAsia="宋体" w:cs="宋体"/>
                <w:color w:val="000000"/>
                <w:sz w:val="24"/>
                <w:highlight w:val="none"/>
              </w:rPr>
              <w:t xml:space="preserve">                                             </w:t>
            </w:r>
            <w:r>
              <w:rPr>
                <w:rFonts w:hint="eastAsia" w:ascii="宋体" w:hAnsi="宋体" w:eastAsia="宋体" w:cs="宋体"/>
                <w:kern w:val="0"/>
                <w:sz w:val="24"/>
                <w:highlight w:val="none"/>
              </w:rPr>
              <w:t>年</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rPr>
              <w:t>月</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rPr>
              <w:t>日</w:t>
            </w:r>
          </w:p>
        </w:tc>
      </w:tr>
      <w:tr w14:paraId="0754D3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24" w:type="dxa"/>
            <w:gridSpan w:val="6"/>
            <w:tcBorders>
              <w:top w:val="single" w:color="auto" w:sz="4" w:space="0"/>
              <w:left w:val="single" w:color="auto" w:sz="12" w:space="0"/>
              <w:right w:val="single" w:color="auto" w:sz="12" w:space="0"/>
            </w:tcBorders>
            <w:noWrap w:val="0"/>
            <w:vAlign w:val="center"/>
          </w:tcPr>
          <w:p w14:paraId="025A8A85">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处理意见：</w:t>
            </w:r>
          </w:p>
          <w:p w14:paraId="557BA93E">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color w:val="000000"/>
                <w:sz w:val="24"/>
                <w:highlight w:val="none"/>
              </w:rPr>
            </w:pPr>
          </w:p>
          <w:p w14:paraId="02B57F1B">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color w:val="000000"/>
                <w:sz w:val="24"/>
                <w:highlight w:val="none"/>
              </w:rPr>
            </w:pPr>
          </w:p>
          <w:p w14:paraId="4EC5168A">
            <w:pPr>
              <w:pageBreakBefore w:val="0"/>
              <w:kinsoku/>
              <w:wordWrap/>
              <w:overflowPunct/>
              <w:topLinePunct w:val="0"/>
              <w:autoSpaceDE/>
              <w:autoSpaceDN/>
              <w:bidi w:val="0"/>
              <w:adjustRightInd/>
              <w:spacing w:line="360" w:lineRule="auto"/>
              <w:ind w:left="0" w:right="0" w:firstLine="0" w:firstLineChars="0"/>
              <w:jc w:val="left"/>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施 工 员</w:t>
            </w:r>
            <w:r>
              <w:rPr>
                <w:rFonts w:hint="eastAsia" w:ascii="宋体" w:hAnsi="宋体" w:eastAsia="宋体" w:cs="宋体"/>
                <w:color w:val="000000"/>
                <w:sz w:val="24"/>
                <w:highlight w:val="none"/>
              </w:rPr>
              <w:t>：</w:t>
            </w:r>
          </w:p>
          <w:p w14:paraId="35BB9990">
            <w:pPr>
              <w:pageBreakBefore w:val="0"/>
              <w:kinsoku/>
              <w:wordWrap/>
              <w:overflowPunct/>
              <w:topLinePunct w:val="0"/>
              <w:autoSpaceDE/>
              <w:autoSpaceDN/>
              <w:bidi w:val="0"/>
              <w:adjustRightInd/>
              <w:spacing w:line="360" w:lineRule="auto"/>
              <w:ind w:left="0" w:right="0" w:firstLine="0" w:firstLineChars="0"/>
              <w:jc w:val="left"/>
              <w:textAlignment w:val="auto"/>
              <w:outlineLvl w:val="9"/>
              <w:rPr>
                <w:rFonts w:hint="eastAsia" w:ascii="宋体" w:hAnsi="宋体" w:eastAsia="宋体" w:cs="宋体"/>
                <w:color w:val="000000"/>
                <w:sz w:val="24"/>
                <w:highlight w:val="none"/>
                <w:lang w:val="en-US" w:eastAsia="zh-CN"/>
              </w:rPr>
            </w:pPr>
          </w:p>
          <w:p w14:paraId="1A193131">
            <w:pPr>
              <w:pageBreakBefore w:val="0"/>
              <w:kinsoku/>
              <w:wordWrap/>
              <w:overflowPunct/>
              <w:topLinePunct w:val="0"/>
              <w:autoSpaceDE/>
              <w:autoSpaceDN/>
              <w:bidi w:val="0"/>
              <w:adjustRightInd/>
              <w:spacing w:line="360" w:lineRule="auto"/>
              <w:ind w:left="0" w:right="0" w:firstLine="0" w:firstLineChars="0"/>
              <w:jc w:val="left"/>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区域经理</w:t>
            </w:r>
            <w:r>
              <w:rPr>
                <w:rFonts w:hint="eastAsia" w:ascii="宋体" w:hAnsi="宋体" w:eastAsia="宋体" w:cs="宋体"/>
                <w:color w:val="000000"/>
                <w:sz w:val="24"/>
                <w:highlight w:val="none"/>
              </w:rPr>
              <w:t xml:space="preserve">：                     </w:t>
            </w:r>
          </w:p>
          <w:p w14:paraId="6290E748">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年  月  日</w:t>
            </w:r>
          </w:p>
        </w:tc>
      </w:tr>
      <w:tr w14:paraId="66171A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24" w:type="dxa"/>
            <w:gridSpan w:val="6"/>
            <w:tcBorders>
              <w:top w:val="single" w:color="auto" w:sz="4" w:space="0"/>
              <w:left w:val="single" w:color="auto" w:sz="12" w:space="0"/>
              <w:bottom w:val="single" w:color="auto" w:sz="12" w:space="0"/>
              <w:right w:val="single" w:color="auto" w:sz="12" w:space="0"/>
            </w:tcBorders>
            <w:noWrap w:val="0"/>
            <w:vAlign w:val="center"/>
          </w:tcPr>
          <w:p w14:paraId="05A8AD23">
            <w:pPr>
              <w:pageBreakBefore w:val="0"/>
              <w:kinsoku/>
              <w:wordWrap/>
              <w:overflowPunct/>
              <w:topLinePunct w:val="0"/>
              <w:autoSpaceDE/>
              <w:autoSpaceDN/>
              <w:bidi w:val="0"/>
              <w:adjustRightInd/>
              <w:spacing w:line="240" w:lineRule="auto"/>
              <w:ind w:left="0" w:right="0" w:firstLine="0" w:firstLineChars="0"/>
              <w:jc w:val="both"/>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会签意见</w:t>
            </w:r>
          </w:p>
        </w:tc>
      </w:tr>
      <w:tr w14:paraId="7277C7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546" w:type="dxa"/>
            <w:gridSpan w:val="3"/>
            <w:tcBorders>
              <w:top w:val="single" w:color="auto" w:sz="4" w:space="0"/>
              <w:left w:val="single" w:color="auto" w:sz="12" w:space="0"/>
              <w:bottom w:val="single" w:color="auto" w:sz="12" w:space="0"/>
              <w:right w:val="single" w:color="auto" w:sz="12" w:space="0"/>
            </w:tcBorders>
            <w:noWrap w:val="0"/>
            <w:vAlign w:val="top"/>
          </w:tcPr>
          <w:p w14:paraId="7D36A6A9">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4"/>
                <w:highlight w:val="none"/>
              </w:rPr>
            </w:pPr>
            <w:r>
              <w:rPr>
                <w:rFonts w:hint="eastAsia" w:ascii="宋体" w:hAnsi="宋体" w:eastAsia="宋体" w:cs="宋体"/>
                <w:sz w:val="24"/>
                <w:highlight w:val="none"/>
                <w:lang w:val="en-US" w:eastAsia="zh-CN"/>
              </w:rPr>
              <w:t>技术负责人</w:t>
            </w:r>
            <w:r>
              <w:rPr>
                <w:rFonts w:hint="eastAsia" w:ascii="宋体" w:hAnsi="宋体" w:eastAsia="宋体" w:cs="宋体"/>
                <w:sz w:val="24"/>
                <w:highlight w:val="none"/>
              </w:rPr>
              <w:t>：</w:t>
            </w:r>
          </w:p>
          <w:p w14:paraId="2E99C209">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4"/>
                <w:highlight w:val="none"/>
              </w:rPr>
            </w:pPr>
          </w:p>
          <w:p w14:paraId="525803E3">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4"/>
                <w:highlight w:val="none"/>
              </w:rPr>
            </w:pPr>
          </w:p>
          <w:p w14:paraId="3C667444">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4"/>
                <w:highlight w:val="none"/>
              </w:rPr>
            </w:pPr>
          </w:p>
          <w:p w14:paraId="487A5390">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4"/>
                <w:highlight w:val="none"/>
              </w:rPr>
            </w:pPr>
          </w:p>
          <w:p w14:paraId="2DBA6B06">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日期：  年  月  日</w:t>
            </w:r>
          </w:p>
        </w:tc>
        <w:tc>
          <w:tcPr>
            <w:tcW w:w="2976" w:type="dxa"/>
            <w:gridSpan w:val="2"/>
            <w:tcBorders>
              <w:top w:val="single" w:color="auto" w:sz="4" w:space="0"/>
              <w:left w:val="single" w:color="auto" w:sz="12" w:space="0"/>
              <w:bottom w:val="single" w:color="auto" w:sz="12" w:space="0"/>
              <w:right w:val="single" w:color="auto" w:sz="12" w:space="0"/>
            </w:tcBorders>
            <w:noWrap w:val="0"/>
            <w:vAlign w:val="top"/>
          </w:tcPr>
          <w:p w14:paraId="4568BAF8">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4"/>
                <w:highlight w:val="none"/>
              </w:rPr>
            </w:pPr>
            <w:r>
              <w:rPr>
                <w:rFonts w:hint="eastAsia" w:ascii="宋体" w:hAnsi="宋体" w:eastAsia="宋体" w:cs="宋体"/>
                <w:sz w:val="24"/>
                <w:highlight w:val="none"/>
                <w:lang w:val="en-US" w:eastAsia="zh-CN"/>
              </w:rPr>
              <w:t>费控部门</w:t>
            </w:r>
            <w:r>
              <w:rPr>
                <w:rFonts w:hint="eastAsia" w:ascii="宋体" w:hAnsi="宋体" w:eastAsia="宋体" w:cs="宋体"/>
                <w:sz w:val="24"/>
                <w:highlight w:val="none"/>
              </w:rPr>
              <w:t>：</w:t>
            </w:r>
          </w:p>
          <w:p w14:paraId="68FE15BF">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1"/>
                <w:szCs w:val="21"/>
                <w:highlight w:val="none"/>
              </w:rPr>
            </w:pPr>
            <w:r>
              <w:rPr>
                <w:rFonts w:hint="eastAsia" w:ascii="宋体" w:hAnsi="宋体" w:eastAsia="宋体" w:cs="宋体"/>
                <w:sz w:val="24"/>
                <w:highlight w:val="none"/>
                <w:lang w:val="en-US" w:eastAsia="zh-CN"/>
              </w:rPr>
              <w:t xml:space="preserve">    </w:t>
            </w:r>
          </w:p>
          <w:p w14:paraId="5CCC5002">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4"/>
                <w:highlight w:val="none"/>
              </w:rPr>
            </w:pPr>
          </w:p>
          <w:p w14:paraId="08E3DAA6">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4"/>
                <w:highlight w:val="none"/>
              </w:rPr>
            </w:pPr>
          </w:p>
          <w:p w14:paraId="1C6FFE5C">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4"/>
                <w:highlight w:val="none"/>
              </w:rPr>
            </w:pPr>
          </w:p>
          <w:p w14:paraId="3CE4EA12">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日期：  年  月  日</w:t>
            </w:r>
          </w:p>
        </w:tc>
        <w:tc>
          <w:tcPr>
            <w:tcW w:w="3102" w:type="dxa"/>
            <w:tcBorders>
              <w:top w:val="single" w:color="auto" w:sz="4" w:space="0"/>
              <w:left w:val="single" w:color="auto" w:sz="12" w:space="0"/>
              <w:bottom w:val="single" w:color="auto" w:sz="12" w:space="0"/>
              <w:right w:val="single" w:color="auto" w:sz="12" w:space="0"/>
            </w:tcBorders>
            <w:noWrap w:val="0"/>
            <w:vAlign w:val="top"/>
          </w:tcPr>
          <w:p w14:paraId="47109E17">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4"/>
                <w:highlight w:val="none"/>
              </w:rPr>
            </w:pPr>
            <w:r>
              <w:rPr>
                <w:rFonts w:hint="eastAsia" w:ascii="宋体" w:hAnsi="宋体" w:eastAsia="宋体" w:cs="宋体"/>
                <w:sz w:val="24"/>
                <w:highlight w:val="none"/>
                <w:lang w:val="en-US" w:eastAsia="zh-CN"/>
              </w:rPr>
              <w:t>项目经理</w:t>
            </w:r>
            <w:r>
              <w:rPr>
                <w:rFonts w:hint="eastAsia" w:ascii="宋体" w:hAnsi="宋体" w:eastAsia="宋体" w:cs="宋体"/>
                <w:sz w:val="24"/>
                <w:highlight w:val="none"/>
              </w:rPr>
              <w:t>：</w:t>
            </w:r>
          </w:p>
          <w:p w14:paraId="0E4EA135">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    </w:t>
            </w:r>
          </w:p>
          <w:p w14:paraId="7E34C509">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4"/>
                <w:highlight w:val="none"/>
              </w:rPr>
            </w:pPr>
          </w:p>
          <w:p w14:paraId="6AC82038">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4"/>
                <w:highlight w:val="none"/>
              </w:rPr>
            </w:pPr>
          </w:p>
          <w:p w14:paraId="71F2F636">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4"/>
                <w:highlight w:val="none"/>
              </w:rPr>
            </w:pPr>
          </w:p>
          <w:p w14:paraId="4C845A35">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日期：   年   月  日</w:t>
            </w:r>
          </w:p>
        </w:tc>
      </w:tr>
    </w:tbl>
    <w:p w14:paraId="389CF6C3">
      <w:pPr>
        <w:pageBreakBefore w:val="0"/>
        <w:kinsoku/>
        <w:wordWrap/>
        <w:overflowPunct/>
        <w:topLinePunct w:val="0"/>
        <w:autoSpaceDE/>
        <w:autoSpaceDN/>
        <w:bidi w:val="0"/>
        <w:adjustRightInd/>
        <w:snapToGrid w:val="0"/>
        <w:spacing w:line="360" w:lineRule="auto"/>
        <w:ind w:left="0" w:right="0" w:firstLine="0" w:firstLineChars="0"/>
        <w:jc w:val="left"/>
        <w:textAlignment w:val="auto"/>
        <w:outlineLvl w:val="9"/>
        <w:rPr>
          <w:rFonts w:hint="eastAsia" w:ascii="宋体" w:hAnsi="宋体" w:eastAsia="宋体" w:cs="宋体"/>
          <w:color w:val="auto"/>
          <w:spacing w:val="10"/>
          <w:sz w:val="24"/>
          <w:highlight w:val="none"/>
          <w:lang w:val="en-US" w:eastAsia="zh-CN"/>
        </w:rPr>
      </w:pPr>
    </w:p>
    <w:p w14:paraId="2F924746">
      <w:pPr>
        <w:pageBreakBefore w:val="0"/>
        <w:kinsoku/>
        <w:wordWrap/>
        <w:overflowPunct/>
        <w:topLinePunct w:val="0"/>
        <w:autoSpaceDE/>
        <w:autoSpaceDN/>
        <w:bidi w:val="0"/>
        <w:adjustRightInd/>
        <w:snapToGrid w:val="0"/>
        <w:spacing w:line="360" w:lineRule="auto"/>
        <w:ind w:left="0" w:right="0" w:firstLine="0" w:firstLineChars="0"/>
        <w:jc w:val="left"/>
        <w:textAlignment w:val="auto"/>
        <w:outlineLvl w:val="9"/>
        <w:rPr>
          <w:rFonts w:hint="eastAsia" w:ascii="宋体" w:hAnsi="宋体" w:eastAsia="宋体" w:cs="宋体"/>
          <w:color w:val="auto"/>
          <w:spacing w:val="10"/>
          <w:sz w:val="24"/>
          <w:highlight w:val="none"/>
          <w:lang w:val="en-US" w:eastAsia="zh-CN"/>
        </w:rPr>
      </w:pPr>
    </w:p>
    <w:p w14:paraId="1384F8AA">
      <w:pPr>
        <w:pageBreakBefore w:val="0"/>
        <w:kinsoku/>
        <w:wordWrap/>
        <w:overflowPunct/>
        <w:topLinePunct w:val="0"/>
        <w:autoSpaceDE/>
        <w:autoSpaceDN/>
        <w:bidi w:val="0"/>
        <w:adjustRightInd/>
        <w:snapToGrid w:val="0"/>
        <w:spacing w:line="360" w:lineRule="auto"/>
        <w:ind w:left="0" w:right="0" w:firstLine="0" w:firstLineChars="0"/>
        <w:jc w:val="left"/>
        <w:textAlignment w:val="auto"/>
        <w:outlineLvl w:val="9"/>
        <w:rPr>
          <w:rFonts w:hint="eastAsia" w:ascii="宋体" w:hAnsi="宋体" w:eastAsia="宋体" w:cs="宋体"/>
          <w:color w:val="auto"/>
          <w:spacing w:val="10"/>
          <w:sz w:val="24"/>
          <w:highlight w:val="none"/>
          <w:lang w:val="en-US" w:eastAsia="zh-CN"/>
        </w:rPr>
      </w:pPr>
    </w:p>
    <w:p w14:paraId="17A233B0">
      <w:pPr>
        <w:pageBreakBefore w:val="0"/>
        <w:kinsoku/>
        <w:wordWrap/>
        <w:overflowPunct/>
        <w:topLinePunct w:val="0"/>
        <w:autoSpaceDE/>
        <w:autoSpaceDN/>
        <w:bidi w:val="0"/>
        <w:adjustRightInd/>
        <w:snapToGrid w:val="0"/>
        <w:spacing w:line="360" w:lineRule="auto"/>
        <w:ind w:left="0" w:right="0" w:firstLine="0" w:firstLineChars="0"/>
        <w:jc w:val="left"/>
        <w:textAlignment w:val="auto"/>
        <w:outlineLvl w:val="9"/>
        <w:rPr>
          <w:rFonts w:hint="eastAsia" w:ascii="宋体" w:hAnsi="宋体" w:eastAsia="宋体" w:cs="宋体"/>
          <w:color w:val="auto"/>
          <w:spacing w:val="10"/>
          <w:sz w:val="24"/>
          <w:highlight w:val="none"/>
          <w:lang w:val="en-US" w:eastAsia="zh-CN"/>
        </w:rPr>
      </w:pPr>
    </w:p>
    <w:p w14:paraId="26FF0FCE">
      <w:pPr>
        <w:pageBreakBefore w:val="0"/>
        <w:kinsoku/>
        <w:wordWrap/>
        <w:overflowPunct/>
        <w:topLinePunct w:val="0"/>
        <w:autoSpaceDE/>
        <w:autoSpaceDN/>
        <w:bidi w:val="0"/>
        <w:adjustRightInd/>
        <w:snapToGrid w:val="0"/>
        <w:spacing w:line="360" w:lineRule="auto"/>
        <w:ind w:left="0" w:right="0" w:firstLine="0" w:firstLineChars="0"/>
        <w:jc w:val="left"/>
        <w:textAlignment w:val="auto"/>
        <w:outlineLvl w:val="9"/>
        <w:rPr>
          <w:rFonts w:hint="eastAsia" w:ascii="宋体" w:hAnsi="宋体" w:eastAsia="宋体" w:cs="宋体"/>
          <w:color w:val="auto"/>
          <w:spacing w:val="10"/>
          <w:sz w:val="24"/>
          <w:highlight w:val="none"/>
          <w:lang w:val="en-US" w:eastAsia="zh-CN"/>
        </w:rPr>
      </w:pPr>
    </w:p>
    <w:p w14:paraId="148CA157">
      <w:pPr>
        <w:pageBreakBefore w:val="0"/>
        <w:kinsoku/>
        <w:wordWrap/>
        <w:overflowPunct/>
        <w:topLinePunct w:val="0"/>
        <w:autoSpaceDE/>
        <w:autoSpaceDN/>
        <w:bidi w:val="0"/>
        <w:adjustRightInd/>
        <w:spacing w:line="360" w:lineRule="auto"/>
        <w:ind w:left="0" w:right="0" w:firstLine="0" w:firstLineChars="0"/>
        <w:jc w:val="center"/>
        <w:textAlignment w:val="auto"/>
        <w:outlineLvl w:val="9"/>
        <w:rPr>
          <w:rFonts w:hint="eastAsia" w:ascii="宋体" w:hAnsi="宋体" w:eastAsia="宋体" w:cs="宋体"/>
          <w:b/>
          <w:bCs/>
          <w:sz w:val="36"/>
          <w:szCs w:val="36"/>
          <w:highlight w:val="none"/>
          <w:lang w:val="en-US" w:eastAsia="zh-CN"/>
        </w:rPr>
      </w:pPr>
      <w:r>
        <w:rPr>
          <w:rFonts w:hint="eastAsia" w:ascii="宋体" w:hAnsi="宋体" w:eastAsia="宋体" w:cs="宋体"/>
          <w:b/>
          <w:bCs/>
          <w:sz w:val="36"/>
          <w:szCs w:val="36"/>
          <w:highlight w:val="none"/>
        </w:rPr>
        <w:t>工程签证</w:t>
      </w:r>
      <w:r>
        <w:rPr>
          <w:rFonts w:hint="eastAsia" w:ascii="宋体" w:hAnsi="宋体" w:eastAsia="宋体" w:cs="宋体"/>
          <w:b/>
          <w:bCs/>
          <w:sz w:val="36"/>
          <w:szCs w:val="36"/>
          <w:highlight w:val="none"/>
          <w:lang w:val="en-US" w:eastAsia="zh-CN"/>
        </w:rPr>
        <w:t>内容附件（审核版）</w:t>
      </w:r>
    </w:p>
    <w:tbl>
      <w:tblPr>
        <w:tblStyle w:val="17"/>
        <w:tblW w:w="9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1810"/>
        <w:gridCol w:w="1546"/>
        <w:gridCol w:w="1547"/>
        <w:gridCol w:w="177"/>
        <w:gridCol w:w="2915"/>
      </w:tblGrid>
      <w:tr w14:paraId="78645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283" w:type="dxa"/>
            <w:noWrap w:val="0"/>
            <w:vAlign w:val="center"/>
          </w:tcPr>
          <w:p w14:paraId="26FF05E7">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rPr>
              <w:t>签证单编号</w:t>
            </w:r>
          </w:p>
        </w:tc>
        <w:tc>
          <w:tcPr>
            <w:tcW w:w="3356" w:type="dxa"/>
            <w:gridSpan w:val="2"/>
            <w:noWrap w:val="0"/>
            <w:vAlign w:val="center"/>
          </w:tcPr>
          <w:p w14:paraId="679BC806">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Cs w:val="21"/>
                <w:highlight w:val="none"/>
                <w:lang w:val="en-US"/>
              </w:rPr>
            </w:pPr>
          </w:p>
        </w:tc>
        <w:tc>
          <w:tcPr>
            <w:tcW w:w="1724" w:type="dxa"/>
            <w:gridSpan w:val="2"/>
            <w:noWrap w:val="0"/>
            <w:vAlign w:val="center"/>
          </w:tcPr>
          <w:p w14:paraId="72487D4A">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rPr>
              <w:t>签证依据</w:t>
            </w:r>
          </w:p>
        </w:tc>
        <w:tc>
          <w:tcPr>
            <w:tcW w:w="2915" w:type="dxa"/>
            <w:noWrap w:val="0"/>
            <w:vAlign w:val="center"/>
          </w:tcPr>
          <w:p w14:paraId="6725F18D">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left"/>
              <w:textAlignment w:val="auto"/>
              <w:outlineLvl w:val="9"/>
              <w:rPr>
                <w:rFonts w:hint="eastAsia" w:ascii="宋体" w:hAnsi="宋体" w:eastAsia="宋体" w:cs="宋体"/>
                <w:kern w:val="2"/>
                <w:sz w:val="21"/>
                <w:szCs w:val="21"/>
                <w:highlight w:val="none"/>
                <w:lang w:val="en-US" w:eastAsia="zh-CN" w:bidi="ar-SA"/>
              </w:rPr>
            </w:pPr>
          </w:p>
        </w:tc>
      </w:tr>
      <w:tr w14:paraId="20798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83" w:type="dxa"/>
            <w:noWrap w:val="0"/>
            <w:vAlign w:val="center"/>
          </w:tcPr>
          <w:p w14:paraId="7D7C3C63">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rPr>
              <w:t>工程名称</w:t>
            </w:r>
          </w:p>
        </w:tc>
        <w:tc>
          <w:tcPr>
            <w:tcW w:w="3356" w:type="dxa"/>
            <w:gridSpan w:val="2"/>
            <w:noWrap w:val="0"/>
            <w:vAlign w:val="center"/>
          </w:tcPr>
          <w:p w14:paraId="72D362B0">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left"/>
              <w:textAlignment w:val="auto"/>
              <w:outlineLvl w:val="9"/>
              <w:rPr>
                <w:rFonts w:hint="eastAsia" w:ascii="宋体" w:hAnsi="宋体" w:eastAsia="宋体" w:cs="宋体"/>
                <w:szCs w:val="21"/>
                <w:highlight w:val="none"/>
                <w:lang w:val="en-US" w:eastAsia="zh-CN"/>
              </w:rPr>
            </w:pPr>
          </w:p>
        </w:tc>
        <w:tc>
          <w:tcPr>
            <w:tcW w:w="1724" w:type="dxa"/>
            <w:gridSpan w:val="2"/>
            <w:noWrap w:val="0"/>
            <w:vAlign w:val="center"/>
          </w:tcPr>
          <w:p w14:paraId="6DF6FB54">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rPr>
              <w:t>合同编号</w:t>
            </w:r>
          </w:p>
        </w:tc>
        <w:tc>
          <w:tcPr>
            <w:tcW w:w="2915" w:type="dxa"/>
            <w:noWrap w:val="0"/>
            <w:vAlign w:val="center"/>
          </w:tcPr>
          <w:p w14:paraId="24A1A78C">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Cs w:val="21"/>
                <w:highlight w:val="none"/>
                <w:lang w:val="en-US" w:eastAsia="zh-CN"/>
              </w:rPr>
            </w:pPr>
          </w:p>
        </w:tc>
      </w:tr>
      <w:tr w14:paraId="08F0B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9278" w:type="dxa"/>
            <w:gridSpan w:val="6"/>
            <w:noWrap w:val="0"/>
            <w:vAlign w:val="center"/>
          </w:tcPr>
          <w:p w14:paraId="0DCC44E9">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b/>
                <w:szCs w:val="21"/>
                <w:highlight w:val="none"/>
                <w:lang w:eastAsia="zh-CN"/>
              </w:rPr>
            </w:pPr>
            <w:r>
              <w:rPr>
                <w:rFonts w:hint="eastAsia" w:ascii="宋体" w:hAnsi="宋体" w:eastAsia="宋体" w:cs="宋体"/>
                <w:highlight w:val="none"/>
              </w:rPr>
              <w:t>签证内容：</w:t>
            </w:r>
            <w:r>
              <w:rPr>
                <w:rFonts w:hint="eastAsia" w:ascii="宋体" w:hAnsi="宋体" w:eastAsia="宋体" w:cs="宋体"/>
                <w:highlight w:val="none"/>
                <w:lang w:eastAsia="zh-CN"/>
              </w:rPr>
              <w:t>（</w:t>
            </w:r>
            <w:r>
              <w:rPr>
                <w:rFonts w:hint="eastAsia" w:ascii="宋体" w:hAnsi="宋体" w:eastAsia="宋体" w:cs="宋体"/>
                <w:highlight w:val="none"/>
                <w:lang w:val="en-US" w:eastAsia="zh-CN"/>
              </w:rPr>
              <w:t>详细描述每项签证内容及工作量</w:t>
            </w:r>
            <w:r>
              <w:rPr>
                <w:rFonts w:hint="eastAsia" w:ascii="宋体" w:hAnsi="宋体" w:eastAsia="宋体" w:cs="宋体"/>
                <w:highlight w:val="none"/>
                <w:lang w:eastAsia="zh-CN"/>
              </w:rPr>
              <w:t>）</w:t>
            </w:r>
          </w:p>
        </w:tc>
      </w:tr>
      <w:tr w14:paraId="6ACFC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4639" w:type="dxa"/>
            <w:gridSpan w:val="3"/>
            <w:noWrap w:val="0"/>
            <w:vAlign w:val="center"/>
          </w:tcPr>
          <w:p w14:paraId="00835415">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b w:val="0"/>
                <w:bCs/>
                <w:szCs w:val="21"/>
                <w:highlight w:val="none"/>
                <w:lang w:val="en-US" w:eastAsia="zh-CN"/>
              </w:rPr>
            </w:pPr>
            <w:r>
              <w:rPr>
                <w:rFonts w:hint="eastAsia" w:ascii="宋体" w:hAnsi="宋体" w:eastAsia="宋体" w:cs="宋体"/>
                <w:b w:val="0"/>
                <w:bCs/>
                <w:szCs w:val="21"/>
                <w:highlight w:val="none"/>
                <w:lang w:val="en-US" w:eastAsia="zh-CN"/>
              </w:rPr>
              <w:t>提交版</w:t>
            </w:r>
          </w:p>
        </w:tc>
        <w:tc>
          <w:tcPr>
            <w:tcW w:w="4639" w:type="dxa"/>
            <w:gridSpan w:val="3"/>
            <w:noWrap w:val="0"/>
            <w:vAlign w:val="center"/>
          </w:tcPr>
          <w:p w14:paraId="62188857">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b w:val="0"/>
                <w:bCs/>
                <w:szCs w:val="21"/>
                <w:highlight w:val="none"/>
                <w:lang w:val="en-US" w:eastAsia="zh-CN"/>
              </w:rPr>
            </w:pPr>
            <w:r>
              <w:rPr>
                <w:rFonts w:hint="eastAsia" w:ascii="宋体" w:hAnsi="宋体" w:eastAsia="宋体" w:cs="宋体"/>
                <w:b w:val="0"/>
                <w:bCs/>
                <w:szCs w:val="21"/>
                <w:highlight w:val="none"/>
                <w:lang w:val="en-US" w:eastAsia="zh-CN"/>
              </w:rPr>
              <w:t>审核版</w:t>
            </w:r>
          </w:p>
        </w:tc>
      </w:tr>
      <w:tr w14:paraId="1F75D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9" w:hRule="atLeast"/>
          <w:jc w:val="center"/>
        </w:trPr>
        <w:tc>
          <w:tcPr>
            <w:tcW w:w="4639" w:type="dxa"/>
            <w:gridSpan w:val="3"/>
            <w:noWrap w:val="0"/>
            <w:vAlign w:val="top"/>
          </w:tcPr>
          <w:p w14:paraId="0E753060">
            <w:pPr>
              <w:pageBreakBefore w:val="0"/>
              <w:numPr>
                <w:ilvl w:val="0"/>
                <w:numId w:val="1"/>
              </w:numPr>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签证原因：</w:t>
            </w:r>
          </w:p>
          <w:p w14:paraId="4CE00D5F">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依据联络单XXXXX，（时间、地点、签证原因、变更前后照片）</w:t>
            </w:r>
          </w:p>
          <w:p w14:paraId="170E20A3">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所发生的签证工程量为：（例闸阀  材质：碳钢、数量、规格、DN20 CL150 RF ASTM A182-F316L TRIM.316L D&amp;S:STL BB-BG-OS&amp;Y）及配套的计算底稿</w:t>
            </w:r>
          </w:p>
          <w:p w14:paraId="671DEC08">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1"/>
                <w:szCs w:val="21"/>
                <w:highlight w:val="none"/>
                <w:lang w:val="en-US" w:eastAsia="zh-CN"/>
              </w:rPr>
            </w:pPr>
          </w:p>
          <w:p w14:paraId="4D6515D5">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1"/>
                <w:szCs w:val="21"/>
                <w:highlight w:val="none"/>
                <w:lang w:val="en-US" w:eastAsia="zh-CN"/>
              </w:rPr>
            </w:pPr>
          </w:p>
          <w:p w14:paraId="66D5773F">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1"/>
                <w:szCs w:val="21"/>
                <w:highlight w:val="none"/>
                <w:lang w:val="en-US" w:eastAsia="zh-CN"/>
              </w:rPr>
            </w:pPr>
          </w:p>
          <w:p w14:paraId="3F708FC7">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color w:val="000000"/>
                <w:sz w:val="24"/>
                <w:highlight w:val="none"/>
                <w:lang w:val="en-US" w:eastAsia="zh-CN"/>
              </w:rPr>
            </w:pPr>
          </w:p>
          <w:p w14:paraId="7FEC97F9">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color w:val="000000"/>
                <w:sz w:val="24"/>
                <w:highlight w:val="none"/>
                <w:lang w:val="en-US" w:eastAsia="zh-CN"/>
              </w:rPr>
              <w:t>班组提出人：</w:t>
            </w:r>
          </w:p>
        </w:tc>
        <w:tc>
          <w:tcPr>
            <w:tcW w:w="4639" w:type="dxa"/>
            <w:gridSpan w:val="3"/>
            <w:noWrap w:val="0"/>
            <w:vAlign w:val="top"/>
          </w:tcPr>
          <w:p w14:paraId="04BA9930">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施 工 员</w:t>
            </w:r>
            <w:r>
              <w:rPr>
                <w:rFonts w:hint="eastAsia" w:ascii="宋体" w:hAnsi="宋体" w:eastAsia="宋体" w:cs="宋体"/>
                <w:color w:val="000000"/>
                <w:sz w:val="24"/>
                <w:highlight w:val="none"/>
              </w:rPr>
              <w:t>：</w:t>
            </w:r>
          </w:p>
          <w:p w14:paraId="33917D0E">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color w:val="000000"/>
                <w:sz w:val="24"/>
                <w:highlight w:val="none"/>
                <w:lang w:val="en-US" w:eastAsia="zh-CN"/>
              </w:rPr>
            </w:pPr>
          </w:p>
          <w:p w14:paraId="6C8E15BC">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color w:val="000000"/>
                <w:sz w:val="24"/>
                <w:highlight w:val="none"/>
                <w:lang w:val="en-US" w:eastAsia="zh-CN"/>
              </w:rPr>
            </w:pPr>
          </w:p>
          <w:p w14:paraId="6A93F720">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color w:val="000000"/>
                <w:sz w:val="24"/>
                <w:highlight w:val="none"/>
                <w:lang w:val="en-US" w:eastAsia="zh-CN"/>
              </w:rPr>
            </w:pPr>
          </w:p>
          <w:p w14:paraId="05895420">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color w:val="000000"/>
                <w:sz w:val="24"/>
                <w:highlight w:val="none"/>
                <w:lang w:val="en-US" w:eastAsia="zh-CN"/>
              </w:rPr>
            </w:pPr>
          </w:p>
          <w:p w14:paraId="601F7AAE">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color w:val="000000"/>
                <w:sz w:val="24"/>
                <w:highlight w:val="none"/>
                <w:lang w:val="en-US" w:eastAsia="zh-CN"/>
              </w:rPr>
            </w:pPr>
          </w:p>
          <w:p w14:paraId="31BD17AB">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color w:val="000000"/>
                <w:sz w:val="24"/>
                <w:highlight w:val="none"/>
                <w:lang w:val="en-US" w:eastAsia="zh-CN"/>
              </w:rPr>
            </w:pPr>
          </w:p>
          <w:p w14:paraId="1FF05AF2">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color w:val="000000"/>
                <w:sz w:val="24"/>
                <w:highlight w:val="none"/>
                <w:lang w:val="en-US" w:eastAsia="zh-CN"/>
              </w:rPr>
            </w:pPr>
          </w:p>
          <w:p w14:paraId="339BE4DC">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color w:val="000000"/>
                <w:sz w:val="24"/>
                <w:highlight w:val="none"/>
                <w:lang w:val="en-US" w:eastAsia="zh-CN"/>
              </w:rPr>
            </w:pPr>
          </w:p>
          <w:p w14:paraId="465C39EB">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color w:val="000000"/>
                <w:sz w:val="24"/>
                <w:highlight w:val="none"/>
                <w:lang w:val="en-US" w:eastAsia="zh-CN"/>
              </w:rPr>
            </w:pPr>
          </w:p>
          <w:p w14:paraId="37530B8A">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区域经理</w:t>
            </w:r>
            <w:r>
              <w:rPr>
                <w:rFonts w:hint="eastAsia" w:ascii="宋体" w:hAnsi="宋体" w:eastAsia="宋体" w:cs="宋体"/>
                <w:color w:val="000000"/>
                <w:sz w:val="24"/>
                <w:highlight w:val="none"/>
              </w:rPr>
              <w:t xml:space="preserve">：                     </w:t>
            </w:r>
          </w:p>
          <w:p w14:paraId="0199D9A8">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w:t>
            </w:r>
          </w:p>
          <w:p w14:paraId="3ABE6766">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color w:val="000000"/>
                <w:sz w:val="24"/>
                <w:highlight w:val="none"/>
              </w:rPr>
            </w:pPr>
          </w:p>
          <w:p w14:paraId="5D6901E7">
            <w:pPr>
              <w:pageBreakBefore w:val="0"/>
              <w:kinsoku/>
              <w:wordWrap/>
              <w:overflowPunct/>
              <w:topLinePunct w:val="0"/>
              <w:autoSpaceDE/>
              <w:autoSpaceDN/>
              <w:bidi w:val="0"/>
              <w:adjustRightInd/>
              <w:spacing w:line="240" w:lineRule="auto"/>
              <w:ind w:left="0" w:right="0" w:firstLine="0" w:firstLineChars="0"/>
              <w:jc w:val="right"/>
              <w:textAlignment w:val="auto"/>
              <w:outlineLvl w:val="9"/>
              <w:rPr>
                <w:rFonts w:hint="eastAsia" w:ascii="宋体" w:hAnsi="宋体" w:eastAsia="宋体" w:cs="宋体"/>
                <w:color w:val="000000"/>
                <w:sz w:val="24"/>
                <w:highlight w:val="none"/>
              </w:rPr>
            </w:pPr>
          </w:p>
          <w:p w14:paraId="76CD515C">
            <w:pPr>
              <w:pageBreakBefore w:val="0"/>
              <w:kinsoku/>
              <w:wordWrap/>
              <w:overflowPunct/>
              <w:topLinePunct w:val="0"/>
              <w:autoSpaceDE/>
              <w:autoSpaceDN/>
              <w:bidi w:val="0"/>
              <w:adjustRightInd/>
              <w:spacing w:line="240" w:lineRule="auto"/>
              <w:ind w:left="0" w:right="0" w:firstLine="0" w:firstLineChars="0"/>
              <w:jc w:val="right"/>
              <w:textAlignment w:val="auto"/>
              <w:outlineLvl w:val="9"/>
              <w:rPr>
                <w:rFonts w:hint="eastAsia" w:ascii="宋体" w:hAnsi="宋体" w:eastAsia="宋体" w:cs="宋体"/>
                <w:b w:val="0"/>
                <w:bCs/>
                <w:szCs w:val="21"/>
                <w:highlight w:val="none"/>
                <w:lang w:val="en-US" w:eastAsia="zh-CN"/>
              </w:rPr>
            </w:pPr>
            <w:r>
              <w:rPr>
                <w:rFonts w:hint="eastAsia" w:ascii="宋体" w:hAnsi="宋体" w:eastAsia="宋体" w:cs="宋体"/>
                <w:color w:val="000000"/>
                <w:sz w:val="24"/>
                <w:highlight w:val="none"/>
              </w:rPr>
              <w:t>年  月  日</w:t>
            </w:r>
          </w:p>
        </w:tc>
      </w:tr>
      <w:tr w14:paraId="2D64C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atLeast"/>
          <w:jc w:val="center"/>
        </w:trPr>
        <w:tc>
          <w:tcPr>
            <w:tcW w:w="9278" w:type="dxa"/>
            <w:gridSpan w:val="6"/>
            <w:noWrap w:val="0"/>
            <w:vAlign w:val="top"/>
          </w:tcPr>
          <w:p w14:paraId="728C80C2">
            <w:pPr>
              <w:keepNext w:val="0"/>
              <w:keepLines w:val="0"/>
              <w:pageBreakBefore w:val="0"/>
              <w:widowControl w:val="0"/>
              <w:kinsoku/>
              <w:wordWrap/>
              <w:overflowPunct/>
              <w:topLinePunct w:val="0"/>
              <w:autoSpaceDE/>
              <w:autoSpaceDN/>
              <w:bidi w:val="0"/>
              <w:adjustRightInd/>
              <w:snapToGrid/>
              <w:spacing w:before="164" w:beforeLines="50" w:line="240" w:lineRule="auto"/>
              <w:ind w:left="0" w:right="0" w:firstLine="0" w:firstLineChars="0"/>
              <w:jc w:val="left"/>
              <w:textAlignment w:val="auto"/>
              <w:outlineLvl w:val="9"/>
              <w:rPr>
                <w:rFonts w:hint="eastAsia" w:ascii="宋体" w:hAnsi="宋体" w:eastAsia="宋体" w:cs="宋体"/>
                <w:b w:val="0"/>
                <w:bCs/>
                <w:szCs w:val="21"/>
                <w:highlight w:val="none"/>
                <w:lang w:val="en-US" w:eastAsia="zh-CN"/>
              </w:rPr>
            </w:pPr>
            <w:r>
              <w:rPr>
                <w:rFonts w:hint="eastAsia" w:ascii="宋体" w:hAnsi="宋体" w:eastAsia="宋体" w:cs="宋体"/>
                <w:sz w:val="24"/>
                <w:highlight w:val="none"/>
              </w:rPr>
              <w:t>会签意见</w:t>
            </w:r>
            <w:r>
              <w:rPr>
                <w:rFonts w:hint="eastAsia" w:ascii="宋体" w:hAnsi="宋体" w:eastAsia="宋体" w:cs="宋体"/>
                <w:sz w:val="24"/>
                <w:highlight w:val="none"/>
                <w:lang w:eastAsia="zh-CN"/>
              </w:rPr>
              <w:t>：</w:t>
            </w:r>
          </w:p>
        </w:tc>
      </w:tr>
      <w:tr w14:paraId="412D0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9" w:hRule="atLeast"/>
          <w:jc w:val="center"/>
        </w:trPr>
        <w:tc>
          <w:tcPr>
            <w:tcW w:w="3093" w:type="dxa"/>
            <w:gridSpan w:val="2"/>
            <w:noWrap w:val="0"/>
            <w:vAlign w:val="top"/>
          </w:tcPr>
          <w:p w14:paraId="426F3779">
            <w:pPr>
              <w:keepNext w:val="0"/>
              <w:keepLines w:val="0"/>
              <w:pageBreakBefore w:val="0"/>
              <w:widowControl w:val="0"/>
              <w:kinsoku/>
              <w:wordWrap/>
              <w:overflowPunct/>
              <w:topLinePunct w:val="0"/>
              <w:autoSpaceDE/>
              <w:autoSpaceDN/>
              <w:bidi w:val="0"/>
              <w:adjustRightInd/>
              <w:snapToGrid/>
              <w:spacing w:before="164" w:beforeLines="50" w:line="240" w:lineRule="auto"/>
              <w:ind w:left="0" w:right="0" w:firstLine="0" w:firstLineChars="0"/>
              <w:jc w:val="left"/>
              <w:textAlignment w:val="auto"/>
              <w:outlineLvl w:val="9"/>
              <w:rPr>
                <w:rFonts w:hint="eastAsia" w:ascii="宋体" w:hAnsi="宋体" w:eastAsia="宋体" w:cs="宋体"/>
                <w:sz w:val="24"/>
                <w:highlight w:val="none"/>
              </w:rPr>
            </w:pPr>
            <w:r>
              <w:rPr>
                <w:rFonts w:hint="eastAsia" w:ascii="宋体" w:hAnsi="宋体" w:eastAsia="宋体" w:cs="宋体"/>
                <w:sz w:val="24"/>
                <w:highlight w:val="none"/>
                <w:lang w:val="en-US" w:eastAsia="zh-CN"/>
              </w:rPr>
              <w:t>技术负责人</w:t>
            </w:r>
            <w:r>
              <w:rPr>
                <w:rFonts w:hint="eastAsia" w:ascii="宋体" w:hAnsi="宋体" w:eastAsia="宋体" w:cs="宋体"/>
                <w:sz w:val="24"/>
                <w:highlight w:val="none"/>
              </w:rPr>
              <w:t>：</w:t>
            </w:r>
          </w:p>
          <w:p w14:paraId="5A2DBE4F">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4"/>
                <w:highlight w:val="none"/>
              </w:rPr>
            </w:pPr>
          </w:p>
          <w:p w14:paraId="156FD95E">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4"/>
                <w:highlight w:val="none"/>
              </w:rPr>
            </w:pPr>
          </w:p>
          <w:p w14:paraId="426B7C2B">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4"/>
                <w:highlight w:val="none"/>
              </w:rPr>
            </w:pPr>
          </w:p>
          <w:p w14:paraId="65482ECD">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4"/>
                <w:highlight w:val="none"/>
              </w:rPr>
            </w:pPr>
          </w:p>
          <w:p w14:paraId="7E146219">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b w:val="0"/>
                <w:bCs/>
                <w:szCs w:val="21"/>
                <w:highlight w:val="none"/>
                <w:lang w:val="en-US" w:eastAsia="zh-CN"/>
              </w:rPr>
            </w:pPr>
            <w:r>
              <w:rPr>
                <w:rFonts w:hint="eastAsia" w:ascii="宋体" w:hAnsi="宋体" w:eastAsia="宋体" w:cs="宋体"/>
                <w:sz w:val="24"/>
                <w:highlight w:val="none"/>
              </w:rPr>
              <w:t xml:space="preserve">日期：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 xml:space="preserve">年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 xml:space="preserve"> 月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日</w:t>
            </w:r>
          </w:p>
        </w:tc>
        <w:tc>
          <w:tcPr>
            <w:tcW w:w="3093" w:type="dxa"/>
            <w:gridSpan w:val="2"/>
            <w:noWrap w:val="0"/>
            <w:vAlign w:val="top"/>
          </w:tcPr>
          <w:p w14:paraId="2020A7A1">
            <w:pPr>
              <w:keepNext w:val="0"/>
              <w:keepLines w:val="0"/>
              <w:pageBreakBefore w:val="0"/>
              <w:widowControl w:val="0"/>
              <w:kinsoku/>
              <w:wordWrap/>
              <w:overflowPunct/>
              <w:topLinePunct w:val="0"/>
              <w:autoSpaceDE/>
              <w:autoSpaceDN/>
              <w:bidi w:val="0"/>
              <w:adjustRightInd/>
              <w:snapToGrid/>
              <w:spacing w:before="164" w:beforeLines="50" w:line="240" w:lineRule="auto"/>
              <w:ind w:left="0" w:right="0" w:firstLine="0" w:firstLineChars="0"/>
              <w:jc w:val="left"/>
              <w:textAlignment w:val="auto"/>
              <w:outlineLvl w:val="9"/>
              <w:rPr>
                <w:rFonts w:hint="eastAsia" w:ascii="宋体" w:hAnsi="宋体" w:eastAsia="宋体" w:cs="宋体"/>
                <w:sz w:val="24"/>
                <w:highlight w:val="none"/>
              </w:rPr>
            </w:pPr>
            <w:r>
              <w:rPr>
                <w:rFonts w:hint="eastAsia" w:ascii="宋体" w:hAnsi="宋体" w:eastAsia="宋体" w:cs="宋体"/>
                <w:sz w:val="24"/>
                <w:highlight w:val="none"/>
                <w:lang w:val="en-US" w:eastAsia="zh-CN"/>
              </w:rPr>
              <w:t>费控负责人</w:t>
            </w:r>
            <w:r>
              <w:rPr>
                <w:rFonts w:hint="eastAsia" w:ascii="宋体" w:hAnsi="宋体" w:eastAsia="宋体" w:cs="宋体"/>
                <w:sz w:val="24"/>
                <w:highlight w:val="none"/>
              </w:rPr>
              <w:t>：</w:t>
            </w:r>
          </w:p>
          <w:p w14:paraId="064EACE6">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4"/>
                <w:highlight w:val="none"/>
              </w:rPr>
            </w:pPr>
          </w:p>
          <w:p w14:paraId="59CF91E3">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4"/>
                <w:highlight w:val="none"/>
              </w:rPr>
            </w:pPr>
          </w:p>
          <w:p w14:paraId="7EC61F9A">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4"/>
                <w:highlight w:val="none"/>
              </w:rPr>
            </w:pPr>
          </w:p>
          <w:p w14:paraId="2EEFB756">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4"/>
                <w:highlight w:val="none"/>
              </w:rPr>
            </w:pPr>
          </w:p>
          <w:p w14:paraId="46A61AE3">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b w:val="0"/>
                <w:bCs/>
                <w:szCs w:val="21"/>
                <w:highlight w:val="none"/>
                <w:lang w:val="en-US" w:eastAsia="zh-CN"/>
              </w:rPr>
            </w:pPr>
            <w:r>
              <w:rPr>
                <w:rFonts w:hint="eastAsia" w:ascii="宋体" w:hAnsi="宋体" w:eastAsia="宋体" w:cs="宋体"/>
                <w:sz w:val="24"/>
                <w:highlight w:val="none"/>
              </w:rPr>
              <w:t xml:space="preserve">日期：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 xml:space="preserve"> 年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 xml:space="preserve"> 月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 xml:space="preserve"> 日</w:t>
            </w:r>
          </w:p>
        </w:tc>
        <w:tc>
          <w:tcPr>
            <w:tcW w:w="3092" w:type="dxa"/>
            <w:gridSpan w:val="2"/>
            <w:noWrap w:val="0"/>
            <w:vAlign w:val="top"/>
          </w:tcPr>
          <w:p w14:paraId="4401FAD2">
            <w:pPr>
              <w:keepNext w:val="0"/>
              <w:keepLines w:val="0"/>
              <w:pageBreakBefore w:val="0"/>
              <w:widowControl w:val="0"/>
              <w:kinsoku/>
              <w:wordWrap/>
              <w:overflowPunct/>
              <w:topLinePunct w:val="0"/>
              <w:autoSpaceDE/>
              <w:autoSpaceDN/>
              <w:bidi w:val="0"/>
              <w:adjustRightInd/>
              <w:snapToGrid/>
              <w:spacing w:before="164" w:beforeLines="50" w:line="240" w:lineRule="auto"/>
              <w:ind w:left="0" w:right="0" w:firstLine="0" w:firstLineChars="0"/>
              <w:jc w:val="left"/>
              <w:textAlignment w:val="auto"/>
              <w:outlineLvl w:val="9"/>
              <w:rPr>
                <w:rFonts w:hint="eastAsia" w:ascii="宋体" w:hAnsi="宋体" w:eastAsia="宋体" w:cs="宋体"/>
                <w:sz w:val="24"/>
                <w:highlight w:val="none"/>
              </w:rPr>
            </w:pPr>
            <w:r>
              <w:rPr>
                <w:rFonts w:hint="eastAsia" w:ascii="宋体" w:hAnsi="宋体" w:eastAsia="宋体" w:cs="宋体"/>
                <w:sz w:val="24"/>
                <w:highlight w:val="none"/>
                <w:lang w:val="en-US" w:eastAsia="zh-CN"/>
              </w:rPr>
              <w:t>项目经理</w:t>
            </w:r>
            <w:r>
              <w:rPr>
                <w:rFonts w:hint="eastAsia" w:ascii="宋体" w:hAnsi="宋体" w:eastAsia="宋体" w:cs="宋体"/>
                <w:sz w:val="24"/>
                <w:highlight w:val="none"/>
              </w:rPr>
              <w:t>：</w:t>
            </w:r>
          </w:p>
          <w:p w14:paraId="45065F7B">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4"/>
                <w:highlight w:val="none"/>
              </w:rPr>
            </w:pPr>
          </w:p>
          <w:p w14:paraId="0AF690F4">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4"/>
                <w:highlight w:val="none"/>
              </w:rPr>
            </w:pPr>
          </w:p>
          <w:p w14:paraId="01EBCBD7">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4"/>
                <w:highlight w:val="none"/>
              </w:rPr>
            </w:pPr>
          </w:p>
          <w:p w14:paraId="63857E7E">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sz w:val="24"/>
                <w:highlight w:val="none"/>
              </w:rPr>
            </w:pPr>
          </w:p>
          <w:p w14:paraId="164E3E16">
            <w:pPr>
              <w:pageBreakBefore w:val="0"/>
              <w:kinsoku/>
              <w:wordWrap/>
              <w:overflowPunct/>
              <w:topLinePunct w:val="0"/>
              <w:autoSpaceDE/>
              <w:autoSpaceDN/>
              <w:bidi w:val="0"/>
              <w:adjustRightInd/>
              <w:spacing w:line="240" w:lineRule="auto"/>
              <w:ind w:left="0" w:right="0" w:firstLine="0" w:firstLineChars="0"/>
              <w:jc w:val="left"/>
              <w:textAlignment w:val="auto"/>
              <w:outlineLvl w:val="9"/>
              <w:rPr>
                <w:rFonts w:hint="eastAsia" w:ascii="宋体" w:hAnsi="宋体" w:eastAsia="宋体" w:cs="宋体"/>
                <w:b w:val="0"/>
                <w:bCs/>
                <w:szCs w:val="21"/>
                <w:highlight w:val="none"/>
                <w:lang w:val="en-US" w:eastAsia="zh-CN"/>
              </w:rPr>
            </w:pPr>
            <w:r>
              <w:rPr>
                <w:rFonts w:hint="eastAsia" w:ascii="宋体" w:hAnsi="宋体" w:eastAsia="宋体" w:cs="宋体"/>
                <w:sz w:val="24"/>
                <w:highlight w:val="none"/>
              </w:rPr>
              <w:t xml:space="preserve">日期：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 xml:space="preserve">年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 xml:space="preserve">月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 xml:space="preserve"> 日</w:t>
            </w:r>
          </w:p>
        </w:tc>
      </w:tr>
    </w:tbl>
    <w:p w14:paraId="72547EF7">
      <w:pPr>
        <w:rPr>
          <w:rFonts w:hint="eastAsia" w:asciiTheme="minorEastAsia" w:hAnsiTheme="minorEastAsia" w:eastAsiaTheme="minorEastAsia" w:cstheme="minorEastAsia"/>
          <w:b/>
          <w:bCs/>
          <w:color w:val="000000"/>
          <w:sz w:val="28"/>
          <w:szCs w:val="28"/>
          <w:highlight w:val="none"/>
          <w:lang w:val="en-US" w:eastAsia="zh-CN"/>
        </w:rPr>
      </w:pPr>
      <w:r>
        <w:rPr>
          <w:rFonts w:hint="eastAsia" w:asciiTheme="minorEastAsia" w:hAnsiTheme="minorEastAsia" w:eastAsiaTheme="minorEastAsia" w:cstheme="minorEastAsia"/>
          <w:b/>
          <w:bCs/>
          <w:color w:val="000000"/>
          <w:sz w:val="28"/>
          <w:szCs w:val="28"/>
          <w:highlight w:val="none"/>
          <w:lang w:val="en-US" w:eastAsia="zh-CN"/>
        </w:rPr>
        <w:br w:type="page"/>
      </w:r>
    </w:p>
    <w:p w14:paraId="6623DE64">
      <w:pPr>
        <w:keepNext w:val="0"/>
        <w:keepLines w:val="0"/>
        <w:pageBreakBefore w:val="0"/>
        <w:widowControl w:val="0"/>
        <w:kinsoku/>
        <w:wordWrap/>
        <w:overflowPunct/>
        <w:topLinePunct w:val="0"/>
        <w:autoSpaceDE/>
        <w:autoSpaceDN/>
        <w:bidi w:val="0"/>
        <w:adjustRightInd/>
        <w:snapToGrid w:val="0"/>
        <w:spacing w:line="360" w:lineRule="auto"/>
        <w:jc w:val="both"/>
        <w:textAlignment w:val="auto"/>
        <w:outlineLvl w:val="1"/>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附件</w:t>
      </w:r>
      <w:r>
        <w:rPr>
          <w:rFonts w:hint="eastAsia" w:ascii="宋体" w:hAnsi="宋体" w:cs="宋体"/>
          <w:b/>
          <w:bCs/>
          <w:sz w:val="28"/>
          <w:szCs w:val="28"/>
          <w:highlight w:val="none"/>
          <w:lang w:val="en-US" w:eastAsia="zh-CN"/>
        </w:rPr>
        <w:t>6：</w:t>
      </w:r>
      <w:r>
        <w:rPr>
          <w:rFonts w:hint="eastAsia" w:ascii="宋体" w:hAnsi="宋体" w:eastAsia="宋体" w:cs="宋体"/>
          <w:b/>
          <w:bCs/>
          <w:sz w:val="28"/>
          <w:szCs w:val="28"/>
          <w:highlight w:val="none"/>
          <w:lang w:val="en-US" w:eastAsia="zh-CN"/>
        </w:rPr>
        <w:t xml:space="preserve"> </w:t>
      </w:r>
    </w:p>
    <w:p w14:paraId="1BC48F2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工作内容及工程量计算及计价规则</w:t>
      </w:r>
    </w:p>
    <w:p w14:paraId="1ED48C39">
      <w:pPr>
        <w:numPr>
          <w:ilvl w:val="0"/>
          <w:numId w:val="0"/>
        </w:numPr>
        <w:snapToGrid w:val="0"/>
        <w:spacing w:line="360" w:lineRule="auto"/>
        <w:jc w:val="left"/>
        <w:rPr>
          <w:rFonts w:ascii="宋体" w:hAnsi="宋体"/>
          <w:color w:val="auto"/>
          <w:spacing w:val="10"/>
          <w:sz w:val="24"/>
          <w:highlight w:val="none"/>
        </w:rPr>
      </w:pPr>
      <w:r>
        <w:rPr>
          <w:rFonts w:hint="eastAsia" w:ascii="宋体" w:hAnsi="宋体" w:eastAsia="宋体" w:cs="Times New Roman"/>
          <w:color w:val="auto"/>
          <w:spacing w:val="10"/>
          <w:kern w:val="2"/>
          <w:sz w:val="24"/>
          <w:szCs w:val="24"/>
          <w:lang w:val="en-US" w:eastAsia="zh-CN" w:bidi="ar-SA"/>
        </w:rPr>
        <w:t>一、</w:t>
      </w:r>
      <w:r>
        <w:rPr>
          <w:rFonts w:hint="eastAsia" w:ascii="宋体" w:hAnsi="宋体"/>
          <w:color w:val="auto"/>
          <w:spacing w:val="10"/>
          <w:sz w:val="24"/>
          <w:highlight w:val="none"/>
        </w:rPr>
        <w:t>工作内容：</w:t>
      </w:r>
    </w:p>
    <w:p w14:paraId="366E4780">
      <w:pPr>
        <w:keepNext w:val="0"/>
        <w:keepLines w:val="0"/>
        <w:pageBreakBefore w:val="0"/>
        <w:widowControl w:val="0"/>
        <w:kinsoku/>
        <w:wordWrap/>
        <w:overflowPunct/>
        <w:topLinePunct w:val="0"/>
        <w:autoSpaceDE/>
        <w:autoSpaceDN/>
        <w:bidi w:val="0"/>
        <w:adjustRightInd/>
        <w:snapToGrid w:val="0"/>
        <w:spacing w:line="360" w:lineRule="auto"/>
        <w:ind w:firstLine="520" w:firstLineChars="200"/>
        <w:jc w:val="left"/>
        <w:textAlignment w:val="auto"/>
        <w:rPr>
          <w:rFonts w:ascii="宋体" w:hAnsi="宋体"/>
          <w:color w:val="auto"/>
          <w:spacing w:val="10"/>
          <w:sz w:val="24"/>
          <w:highlight w:val="none"/>
        </w:rPr>
      </w:pPr>
      <w:r>
        <w:rPr>
          <w:rFonts w:hint="eastAsia" w:ascii="宋体" w:hAnsi="宋体"/>
          <w:color w:val="auto"/>
          <w:spacing w:val="10"/>
          <w:sz w:val="24"/>
          <w:highlight w:val="none"/>
        </w:rPr>
        <w:t>（1）综合考虑管道压力等级、施工环境、输送介质、试验方法及介质等，管道预制所需的二次设计及其图纸准备、焊接工艺评定等工作。</w:t>
      </w:r>
    </w:p>
    <w:p w14:paraId="19005F68">
      <w:pPr>
        <w:keepNext w:val="0"/>
        <w:keepLines w:val="0"/>
        <w:pageBreakBefore w:val="0"/>
        <w:widowControl w:val="0"/>
        <w:kinsoku/>
        <w:wordWrap/>
        <w:overflowPunct/>
        <w:topLinePunct w:val="0"/>
        <w:autoSpaceDE/>
        <w:autoSpaceDN/>
        <w:bidi w:val="0"/>
        <w:adjustRightInd/>
        <w:snapToGrid w:val="0"/>
        <w:spacing w:line="360" w:lineRule="auto"/>
        <w:ind w:firstLine="520" w:firstLineChars="200"/>
        <w:jc w:val="left"/>
        <w:textAlignment w:val="auto"/>
        <w:rPr>
          <w:rFonts w:ascii="宋体" w:hAnsi="宋体"/>
          <w:color w:val="auto"/>
          <w:spacing w:val="10"/>
          <w:sz w:val="24"/>
          <w:highlight w:val="none"/>
        </w:rPr>
      </w:pPr>
      <w:r>
        <w:rPr>
          <w:rFonts w:hint="eastAsia" w:ascii="宋体" w:hAnsi="宋体"/>
          <w:color w:val="auto"/>
          <w:spacing w:val="10"/>
          <w:sz w:val="24"/>
          <w:highlight w:val="none"/>
        </w:rPr>
        <w:t>（2）管道切口、坡口处理，管道与管配件、法兰等接口的组对、焊接，取压、取样、静电固定件等部件安装等工作。</w:t>
      </w:r>
    </w:p>
    <w:p w14:paraId="3488D145">
      <w:pPr>
        <w:keepNext w:val="0"/>
        <w:keepLines w:val="0"/>
        <w:pageBreakBefore w:val="0"/>
        <w:widowControl w:val="0"/>
        <w:kinsoku/>
        <w:wordWrap/>
        <w:overflowPunct/>
        <w:topLinePunct w:val="0"/>
        <w:autoSpaceDE/>
        <w:autoSpaceDN/>
        <w:bidi w:val="0"/>
        <w:adjustRightInd/>
        <w:snapToGrid w:val="0"/>
        <w:spacing w:line="360" w:lineRule="auto"/>
        <w:ind w:firstLine="520" w:firstLineChars="200"/>
        <w:jc w:val="left"/>
        <w:textAlignment w:val="auto"/>
        <w:rPr>
          <w:rFonts w:ascii="宋体" w:hAnsi="宋体"/>
          <w:color w:val="auto"/>
          <w:spacing w:val="10"/>
          <w:sz w:val="24"/>
          <w:highlight w:val="none"/>
        </w:rPr>
      </w:pPr>
      <w:r>
        <w:rPr>
          <w:rFonts w:hint="eastAsia" w:ascii="宋体" w:hAnsi="宋体"/>
          <w:color w:val="auto"/>
          <w:spacing w:val="10"/>
          <w:sz w:val="24"/>
          <w:highlight w:val="none"/>
        </w:rPr>
        <w:t>（3）管子开孔、支管焊接，补强圈的制安与试验，临时支托架制安与拆除，夹套管定位板制安、打堵墙洞等工作。</w:t>
      </w:r>
    </w:p>
    <w:p w14:paraId="427C21BA">
      <w:pPr>
        <w:keepNext w:val="0"/>
        <w:keepLines w:val="0"/>
        <w:pageBreakBefore w:val="0"/>
        <w:widowControl w:val="0"/>
        <w:kinsoku/>
        <w:wordWrap/>
        <w:overflowPunct/>
        <w:topLinePunct w:val="0"/>
        <w:autoSpaceDE/>
        <w:autoSpaceDN/>
        <w:bidi w:val="0"/>
        <w:adjustRightInd/>
        <w:snapToGrid w:val="0"/>
        <w:spacing w:line="360" w:lineRule="auto"/>
        <w:ind w:firstLine="520" w:firstLineChars="200"/>
        <w:jc w:val="left"/>
        <w:textAlignment w:val="auto"/>
        <w:rPr>
          <w:rFonts w:ascii="宋体" w:hAnsi="宋体"/>
          <w:color w:val="auto"/>
          <w:spacing w:val="10"/>
          <w:sz w:val="24"/>
          <w:highlight w:val="none"/>
        </w:rPr>
      </w:pPr>
      <w:r>
        <w:rPr>
          <w:rFonts w:hint="eastAsia" w:ascii="宋体" w:hAnsi="宋体"/>
          <w:color w:val="auto"/>
          <w:spacing w:val="10"/>
          <w:sz w:val="24"/>
          <w:highlight w:val="none"/>
        </w:rPr>
        <w:t>（4）预制管段的标识及其记录和报告等工作。</w:t>
      </w:r>
    </w:p>
    <w:p w14:paraId="589F2EFC">
      <w:pPr>
        <w:keepNext w:val="0"/>
        <w:keepLines w:val="0"/>
        <w:pageBreakBefore w:val="0"/>
        <w:widowControl w:val="0"/>
        <w:kinsoku/>
        <w:wordWrap/>
        <w:overflowPunct/>
        <w:topLinePunct w:val="0"/>
        <w:autoSpaceDE/>
        <w:autoSpaceDN/>
        <w:bidi w:val="0"/>
        <w:adjustRightInd/>
        <w:snapToGrid w:val="0"/>
        <w:spacing w:line="360" w:lineRule="auto"/>
        <w:ind w:firstLine="520" w:firstLineChars="200"/>
        <w:jc w:val="left"/>
        <w:textAlignment w:val="auto"/>
        <w:rPr>
          <w:rFonts w:ascii="宋体" w:hAnsi="宋体"/>
          <w:color w:val="auto"/>
          <w:spacing w:val="10"/>
          <w:sz w:val="24"/>
          <w:highlight w:val="none"/>
        </w:rPr>
      </w:pPr>
      <w:r>
        <w:rPr>
          <w:rFonts w:hint="eastAsia" w:ascii="宋体" w:hAnsi="宋体"/>
          <w:color w:val="auto"/>
          <w:spacing w:val="10"/>
          <w:sz w:val="24"/>
          <w:highlight w:val="none"/>
        </w:rPr>
        <w:t>（5）盲法兰、试压盲板制安、法兰连接、垫片与垫环安装、螺栓紧固涂抹等工作。</w:t>
      </w:r>
    </w:p>
    <w:p w14:paraId="5F2CC038">
      <w:pPr>
        <w:keepNext w:val="0"/>
        <w:keepLines w:val="0"/>
        <w:pageBreakBefore w:val="0"/>
        <w:widowControl w:val="0"/>
        <w:kinsoku/>
        <w:wordWrap/>
        <w:overflowPunct/>
        <w:topLinePunct w:val="0"/>
        <w:autoSpaceDE/>
        <w:autoSpaceDN/>
        <w:bidi w:val="0"/>
        <w:adjustRightInd/>
        <w:snapToGrid w:val="0"/>
        <w:spacing w:line="360" w:lineRule="auto"/>
        <w:ind w:firstLine="520" w:firstLineChars="200"/>
        <w:jc w:val="left"/>
        <w:textAlignment w:val="auto"/>
        <w:rPr>
          <w:rFonts w:ascii="宋体" w:hAnsi="宋体"/>
          <w:color w:val="auto"/>
          <w:spacing w:val="10"/>
          <w:sz w:val="24"/>
          <w:highlight w:val="none"/>
        </w:rPr>
      </w:pPr>
      <w:r>
        <w:rPr>
          <w:rFonts w:hint="eastAsia" w:ascii="宋体" w:hAnsi="宋体"/>
          <w:color w:val="auto"/>
          <w:spacing w:val="10"/>
          <w:sz w:val="24"/>
          <w:highlight w:val="none"/>
        </w:rPr>
        <w:t>（6）不锈钢管道焊口充氩保护及酸洗、钝化等工作。</w:t>
      </w:r>
    </w:p>
    <w:p w14:paraId="1ABA961E">
      <w:pPr>
        <w:keepNext w:val="0"/>
        <w:keepLines w:val="0"/>
        <w:pageBreakBefore w:val="0"/>
        <w:widowControl w:val="0"/>
        <w:kinsoku/>
        <w:wordWrap/>
        <w:overflowPunct/>
        <w:topLinePunct w:val="0"/>
        <w:autoSpaceDE/>
        <w:autoSpaceDN/>
        <w:bidi w:val="0"/>
        <w:adjustRightInd/>
        <w:snapToGrid w:val="0"/>
        <w:spacing w:line="360" w:lineRule="auto"/>
        <w:ind w:firstLine="520" w:firstLineChars="200"/>
        <w:jc w:val="left"/>
        <w:textAlignment w:val="auto"/>
        <w:rPr>
          <w:rFonts w:ascii="宋体" w:hAnsi="宋体"/>
          <w:color w:val="auto"/>
          <w:spacing w:val="10"/>
          <w:sz w:val="24"/>
          <w:highlight w:val="none"/>
        </w:rPr>
      </w:pPr>
      <w:r>
        <w:rPr>
          <w:rFonts w:hint="eastAsia" w:ascii="宋体" w:hAnsi="宋体"/>
          <w:color w:val="auto"/>
          <w:spacing w:val="10"/>
          <w:sz w:val="24"/>
          <w:highlight w:val="none"/>
        </w:rPr>
        <w:t>（7）管道焊缝打磨、清理、保护管道清洁度及管道防冻保护等采取的措施工作。</w:t>
      </w:r>
    </w:p>
    <w:p w14:paraId="157A5D90">
      <w:pPr>
        <w:keepNext w:val="0"/>
        <w:keepLines w:val="0"/>
        <w:pageBreakBefore w:val="0"/>
        <w:widowControl w:val="0"/>
        <w:kinsoku/>
        <w:wordWrap/>
        <w:overflowPunct/>
        <w:topLinePunct w:val="0"/>
        <w:autoSpaceDE/>
        <w:autoSpaceDN/>
        <w:bidi w:val="0"/>
        <w:adjustRightInd/>
        <w:snapToGrid w:val="0"/>
        <w:spacing w:line="360" w:lineRule="auto"/>
        <w:ind w:firstLine="520" w:firstLineChars="200"/>
        <w:jc w:val="left"/>
        <w:textAlignment w:val="auto"/>
        <w:rPr>
          <w:rFonts w:ascii="宋体" w:hAnsi="宋体"/>
          <w:color w:val="auto"/>
          <w:spacing w:val="10"/>
          <w:sz w:val="24"/>
          <w:highlight w:val="none"/>
        </w:rPr>
      </w:pPr>
      <w:r>
        <w:rPr>
          <w:rFonts w:hint="eastAsia" w:ascii="宋体" w:hAnsi="宋体"/>
          <w:color w:val="auto"/>
          <w:spacing w:val="10"/>
          <w:sz w:val="24"/>
          <w:highlight w:val="none"/>
        </w:rPr>
        <w:t>（8）管道压力试验、泄漏性试验及配合清洗、吹扫、气密、蒸汽打靶、防冻保护等工作。包含试验、清洗时的阀门、仪表件及其他附件的拆除、保管、复位等工作。</w:t>
      </w:r>
    </w:p>
    <w:p w14:paraId="31CB5AF0">
      <w:pPr>
        <w:keepNext w:val="0"/>
        <w:keepLines w:val="0"/>
        <w:pageBreakBefore w:val="0"/>
        <w:widowControl w:val="0"/>
        <w:kinsoku/>
        <w:wordWrap/>
        <w:overflowPunct/>
        <w:topLinePunct w:val="0"/>
        <w:autoSpaceDE/>
        <w:autoSpaceDN/>
        <w:bidi w:val="0"/>
        <w:adjustRightInd/>
        <w:snapToGrid w:val="0"/>
        <w:spacing w:line="360" w:lineRule="auto"/>
        <w:ind w:firstLine="520" w:firstLineChars="200"/>
        <w:jc w:val="left"/>
        <w:textAlignment w:val="auto"/>
        <w:rPr>
          <w:rFonts w:ascii="宋体" w:hAnsi="宋体"/>
          <w:color w:val="auto"/>
          <w:spacing w:val="10"/>
          <w:sz w:val="24"/>
          <w:highlight w:val="none"/>
        </w:rPr>
      </w:pPr>
      <w:r>
        <w:rPr>
          <w:rFonts w:hint="eastAsia" w:ascii="宋体" w:hAnsi="宋体"/>
          <w:color w:val="auto"/>
          <w:spacing w:val="10"/>
          <w:sz w:val="24"/>
          <w:highlight w:val="none"/>
        </w:rPr>
        <w:t>（9）因到货壁厚偏差引起的管道与管件焊接时错口、错边的打磨工作。</w:t>
      </w:r>
    </w:p>
    <w:p w14:paraId="7D89C837">
      <w:pPr>
        <w:keepNext w:val="0"/>
        <w:keepLines w:val="0"/>
        <w:pageBreakBefore w:val="0"/>
        <w:widowControl w:val="0"/>
        <w:kinsoku/>
        <w:wordWrap/>
        <w:overflowPunct/>
        <w:topLinePunct w:val="0"/>
        <w:autoSpaceDE/>
        <w:autoSpaceDN/>
        <w:bidi w:val="0"/>
        <w:adjustRightInd/>
        <w:snapToGrid w:val="0"/>
        <w:spacing w:line="360" w:lineRule="auto"/>
        <w:ind w:firstLine="520" w:firstLineChars="200"/>
        <w:jc w:val="left"/>
        <w:textAlignment w:val="auto"/>
        <w:rPr>
          <w:rFonts w:ascii="宋体" w:hAnsi="宋体"/>
          <w:color w:val="auto"/>
          <w:spacing w:val="10"/>
          <w:sz w:val="24"/>
          <w:highlight w:val="none"/>
        </w:rPr>
      </w:pPr>
      <w:r>
        <w:rPr>
          <w:rFonts w:hint="eastAsia" w:ascii="宋体" w:hAnsi="宋体"/>
          <w:color w:val="auto"/>
          <w:spacing w:val="10"/>
          <w:sz w:val="24"/>
          <w:highlight w:val="none"/>
        </w:rPr>
        <w:t>（10）水平运输、垂直运输、脚手架搭拆以及各项防护措施工作。</w:t>
      </w:r>
    </w:p>
    <w:p w14:paraId="2D072089">
      <w:pPr>
        <w:numPr>
          <w:ilvl w:val="0"/>
          <w:numId w:val="0"/>
        </w:numPr>
        <w:snapToGrid w:val="0"/>
        <w:spacing w:line="480" w:lineRule="auto"/>
        <w:jc w:val="left"/>
        <w:rPr>
          <w:rFonts w:hint="eastAsia" w:ascii="宋体" w:hAnsi="宋体"/>
          <w:color w:val="auto"/>
          <w:spacing w:val="10"/>
          <w:sz w:val="24"/>
          <w:highlight w:val="none"/>
        </w:rPr>
      </w:pPr>
      <w:r>
        <w:rPr>
          <w:rFonts w:hint="eastAsia" w:ascii="宋体" w:hAnsi="宋体" w:eastAsia="宋体" w:cs="Times New Roman"/>
          <w:color w:val="auto"/>
          <w:spacing w:val="10"/>
          <w:kern w:val="2"/>
          <w:sz w:val="24"/>
          <w:szCs w:val="24"/>
          <w:lang w:val="en-US" w:eastAsia="zh-CN" w:bidi="ar-SA"/>
        </w:rPr>
        <w:t>二、</w:t>
      </w:r>
      <w:r>
        <w:rPr>
          <w:rFonts w:hint="eastAsia" w:ascii="宋体" w:hAnsi="宋体"/>
          <w:color w:val="auto"/>
          <w:spacing w:val="10"/>
          <w:sz w:val="24"/>
          <w:highlight w:val="none"/>
        </w:rPr>
        <w:t>计算规则：</w:t>
      </w:r>
    </w:p>
    <w:p w14:paraId="46EBA1D4">
      <w:pPr>
        <w:snapToGrid w:val="0"/>
        <w:spacing w:line="360" w:lineRule="auto"/>
        <w:jc w:val="left"/>
        <w:rPr>
          <w:rFonts w:ascii="宋体" w:hAnsi="宋体"/>
          <w:color w:val="auto"/>
          <w:spacing w:val="10"/>
          <w:sz w:val="24"/>
          <w:highlight w:val="none"/>
        </w:rPr>
      </w:pPr>
      <w:r>
        <w:rPr>
          <w:rFonts w:hint="eastAsia" w:ascii="宋体" w:hAnsi="宋体"/>
          <w:color w:val="auto"/>
          <w:spacing w:val="10"/>
          <w:sz w:val="24"/>
          <w:highlight w:val="none"/>
        </w:rPr>
        <w:t>1、依据单线图计算寸径工程量，计算示例详见下图所示：</w:t>
      </w:r>
    </w:p>
    <w:p w14:paraId="277A9518">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钢制管道寸径工程量计算方法示例</w:t>
      </w:r>
    </w:p>
    <w:tbl>
      <w:tblPr>
        <w:tblStyle w:val="17"/>
        <w:tblW w:w="9100" w:type="dxa"/>
        <w:tblInd w:w="0" w:type="dxa"/>
        <w:tblLayout w:type="fixed"/>
        <w:tblCellMar>
          <w:top w:w="0" w:type="dxa"/>
          <w:left w:w="0" w:type="dxa"/>
          <w:bottom w:w="0" w:type="dxa"/>
          <w:right w:w="0" w:type="dxa"/>
        </w:tblCellMar>
      </w:tblPr>
      <w:tblGrid>
        <w:gridCol w:w="600"/>
        <w:gridCol w:w="2670"/>
        <w:gridCol w:w="4050"/>
        <w:gridCol w:w="1780"/>
      </w:tblGrid>
      <w:tr w14:paraId="14215108">
        <w:tblPrEx>
          <w:tblCellMar>
            <w:top w:w="0" w:type="dxa"/>
            <w:left w:w="0" w:type="dxa"/>
            <w:bottom w:w="0" w:type="dxa"/>
            <w:right w:w="0" w:type="dxa"/>
          </w:tblCellMar>
        </w:tblPrEx>
        <w:trPr>
          <w:trHeight w:val="540" w:hRule="atLeast"/>
        </w:trPr>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6E2A61">
            <w:pPr>
              <w:widowControl/>
              <w:spacing w:line="360" w:lineRule="auto"/>
              <w:jc w:val="center"/>
              <w:textAlignment w:val="center"/>
              <w:rPr>
                <w:rFonts w:ascii="宋体" w:hAnsi="宋体" w:cs="宋体"/>
                <w:b/>
                <w:color w:val="auto"/>
                <w:sz w:val="20"/>
                <w:szCs w:val="20"/>
                <w:highlight w:val="none"/>
              </w:rPr>
            </w:pPr>
            <w:r>
              <w:rPr>
                <w:rFonts w:hint="eastAsia" w:ascii="宋体" w:hAnsi="宋体" w:cs="宋体"/>
                <w:b/>
                <w:color w:val="auto"/>
                <w:kern w:val="0"/>
                <w:sz w:val="20"/>
                <w:szCs w:val="20"/>
                <w:highlight w:val="none"/>
              </w:rPr>
              <w:t>序号</w:t>
            </w:r>
          </w:p>
        </w:tc>
        <w:tc>
          <w:tcPr>
            <w:tcW w:w="26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6141DE">
            <w:pPr>
              <w:widowControl/>
              <w:spacing w:line="360" w:lineRule="auto"/>
              <w:jc w:val="center"/>
              <w:textAlignment w:val="center"/>
              <w:rPr>
                <w:rFonts w:ascii="宋体" w:hAnsi="宋体" w:cs="宋体"/>
                <w:b/>
                <w:color w:val="auto"/>
                <w:sz w:val="20"/>
                <w:szCs w:val="20"/>
                <w:highlight w:val="none"/>
              </w:rPr>
            </w:pPr>
            <w:r>
              <w:rPr>
                <w:rFonts w:hint="eastAsia" w:ascii="宋体" w:hAnsi="宋体" w:cs="宋体"/>
                <w:b/>
                <w:color w:val="auto"/>
                <w:kern w:val="0"/>
                <w:sz w:val="20"/>
                <w:szCs w:val="20"/>
                <w:highlight w:val="none"/>
              </w:rPr>
              <w:t>部件名称</w:t>
            </w:r>
          </w:p>
        </w:tc>
        <w:tc>
          <w:tcPr>
            <w:tcW w:w="4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41CDEB">
            <w:pPr>
              <w:widowControl/>
              <w:spacing w:line="360" w:lineRule="auto"/>
              <w:jc w:val="center"/>
              <w:textAlignment w:val="center"/>
              <w:rPr>
                <w:rFonts w:ascii="宋体" w:hAnsi="宋体" w:cs="宋体"/>
                <w:b/>
                <w:color w:val="auto"/>
                <w:sz w:val="20"/>
                <w:szCs w:val="20"/>
                <w:highlight w:val="none"/>
              </w:rPr>
            </w:pPr>
            <w:r>
              <w:rPr>
                <w:rFonts w:hint="eastAsia" w:ascii="宋体" w:hAnsi="宋体" w:cs="宋体"/>
                <w:b/>
                <w:color w:val="auto"/>
                <w:kern w:val="0"/>
                <w:sz w:val="20"/>
                <w:szCs w:val="20"/>
                <w:highlight w:val="none"/>
              </w:rPr>
              <w:t>焊接图例</w:t>
            </w:r>
          </w:p>
        </w:tc>
        <w:tc>
          <w:tcPr>
            <w:tcW w:w="1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25E533">
            <w:pPr>
              <w:widowControl/>
              <w:spacing w:line="360" w:lineRule="auto"/>
              <w:jc w:val="center"/>
              <w:textAlignment w:val="center"/>
              <w:rPr>
                <w:rFonts w:ascii="宋体" w:hAnsi="宋体" w:cs="宋体"/>
                <w:b/>
                <w:color w:val="auto"/>
                <w:sz w:val="20"/>
                <w:szCs w:val="20"/>
                <w:highlight w:val="none"/>
              </w:rPr>
            </w:pPr>
            <w:r>
              <w:rPr>
                <w:rFonts w:hint="eastAsia" w:ascii="宋体" w:hAnsi="宋体" w:cs="宋体"/>
                <w:b/>
                <w:color w:val="auto"/>
                <w:kern w:val="0"/>
                <w:sz w:val="20"/>
                <w:szCs w:val="20"/>
                <w:highlight w:val="none"/>
              </w:rPr>
              <w:t>寸径计算公式</w:t>
            </w:r>
          </w:p>
        </w:tc>
      </w:tr>
      <w:tr w14:paraId="171C528C">
        <w:tblPrEx>
          <w:tblCellMar>
            <w:top w:w="0" w:type="dxa"/>
            <w:left w:w="0" w:type="dxa"/>
            <w:bottom w:w="0" w:type="dxa"/>
            <w:right w:w="0" w:type="dxa"/>
          </w:tblCellMar>
        </w:tblPrEx>
        <w:trPr>
          <w:trHeight w:val="1495" w:hRule="atLeast"/>
        </w:trPr>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BA88BB">
            <w:pPr>
              <w:widowControl/>
              <w:spacing w:line="360" w:lineRule="auto"/>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w:t>
            </w:r>
          </w:p>
        </w:tc>
        <w:tc>
          <w:tcPr>
            <w:tcW w:w="26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66E301">
            <w:pPr>
              <w:widowControl/>
              <w:spacing w:line="360" w:lineRule="auto"/>
              <w:textAlignment w:val="center"/>
              <w:rPr>
                <w:rFonts w:ascii="宋体" w:hAnsi="宋体" w:cs="宋体"/>
                <w:b/>
                <w:color w:val="auto"/>
                <w:sz w:val="20"/>
                <w:szCs w:val="20"/>
                <w:highlight w:val="none"/>
              </w:rPr>
            </w:pPr>
            <w:r>
              <w:rPr>
                <w:rFonts w:hint="eastAsia" w:ascii="宋体" w:hAnsi="宋体" w:cs="宋体"/>
                <w:b/>
                <w:color w:val="auto"/>
                <w:kern w:val="0"/>
                <w:sz w:val="20"/>
                <w:szCs w:val="20"/>
                <w:highlight w:val="none"/>
              </w:rPr>
              <w:t>直管段</w:t>
            </w:r>
          </w:p>
        </w:tc>
        <w:tc>
          <w:tcPr>
            <w:tcW w:w="4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1620FCE7">
            <w:pPr>
              <w:widowControl/>
              <w:spacing w:line="360" w:lineRule="auto"/>
              <w:textAlignment w:val="top"/>
              <w:rPr>
                <w:rFonts w:ascii="宋体" w:hAnsi="宋体" w:cs="宋体"/>
                <w:color w:val="auto"/>
                <w:sz w:val="20"/>
                <w:szCs w:val="20"/>
                <w:highlight w:val="none"/>
              </w:rPr>
            </w:pPr>
            <w:r>
              <w:rPr>
                <w:rFonts w:hint="eastAsia" w:ascii="宋体" w:hAnsi="宋体" w:cs="宋体"/>
                <w:color w:val="auto"/>
                <w:kern w:val="0"/>
                <w:sz w:val="20"/>
                <w:szCs w:val="20"/>
                <w:highlight w:val="none"/>
                <w:bdr w:val="single" w:color="auto" w:sz="4" w:space="0"/>
              </w:rPr>
              <w:drawing>
                <wp:anchor distT="0" distB="0" distL="114300" distR="114300" simplePos="0" relativeHeight="251660288" behindDoc="0" locked="0" layoutInCell="1" allowOverlap="1">
                  <wp:simplePos x="0" y="0"/>
                  <wp:positionH relativeFrom="column">
                    <wp:posOffset>465455</wp:posOffset>
                  </wp:positionH>
                  <wp:positionV relativeFrom="paragraph">
                    <wp:posOffset>200025</wp:posOffset>
                  </wp:positionV>
                  <wp:extent cx="1668780" cy="574675"/>
                  <wp:effectExtent l="0" t="0" r="7620" b="444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668780" cy="574675"/>
                          </a:xfrm>
                          <a:prstGeom prst="rect">
                            <a:avLst/>
                          </a:prstGeom>
                          <a:noFill/>
                          <a:ln>
                            <a:noFill/>
                          </a:ln>
                        </pic:spPr>
                      </pic:pic>
                    </a:graphicData>
                  </a:graphic>
                </wp:anchor>
              </w:drawing>
            </w:r>
          </w:p>
        </w:tc>
        <w:tc>
          <w:tcPr>
            <w:tcW w:w="1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E17A20">
            <w:pPr>
              <w:widowControl/>
              <w:spacing w:line="360" w:lineRule="auto"/>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寸径（</w:t>
            </w:r>
            <w:r>
              <w:rPr>
                <w:rStyle w:val="32"/>
                <w:rFonts w:hint="eastAsia" w:ascii="宋体" w:hAnsi="宋体" w:cs="宋体"/>
                <w:color w:val="auto"/>
                <w:highlight w:val="none"/>
              </w:rPr>
              <w:t>Din</w:t>
            </w:r>
            <w:r>
              <w:rPr>
                <w:rStyle w:val="26"/>
                <w:rFonts w:hint="default"/>
                <w:color w:val="auto"/>
                <w:highlight w:val="none"/>
              </w:rPr>
              <w:t>）</w:t>
            </w:r>
            <w:r>
              <w:rPr>
                <w:rStyle w:val="32"/>
                <w:rFonts w:hint="eastAsia" w:ascii="宋体" w:hAnsi="宋体" w:cs="宋体"/>
                <w:color w:val="auto"/>
                <w:highlight w:val="none"/>
              </w:rPr>
              <w:t>=A</w:t>
            </w:r>
          </w:p>
        </w:tc>
      </w:tr>
      <w:tr w14:paraId="20E4307B">
        <w:tblPrEx>
          <w:tblCellMar>
            <w:top w:w="0" w:type="dxa"/>
            <w:left w:w="0" w:type="dxa"/>
            <w:bottom w:w="0" w:type="dxa"/>
            <w:right w:w="0" w:type="dxa"/>
          </w:tblCellMar>
        </w:tblPrEx>
        <w:trPr>
          <w:trHeight w:val="1805" w:hRule="atLeast"/>
        </w:trPr>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ED582F">
            <w:pPr>
              <w:widowControl/>
              <w:spacing w:line="360" w:lineRule="auto"/>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2</w:t>
            </w:r>
          </w:p>
        </w:tc>
        <w:tc>
          <w:tcPr>
            <w:tcW w:w="26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9647EB">
            <w:pPr>
              <w:widowControl/>
              <w:spacing w:line="360" w:lineRule="auto"/>
              <w:textAlignment w:val="center"/>
              <w:rPr>
                <w:rFonts w:ascii="宋体" w:hAnsi="宋体" w:cs="宋体"/>
                <w:b/>
                <w:color w:val="auto"/>
                <w:sz w:val="20"/>
                <w:szCs w:val="20"/>
                <w:highlight w:val="none"/>
              </w:rPr>
            </w:pPr>
            <w:r>
              <w:rPr>
                <w:rFonts w:hint="eastAsia" w:ascii="宋体" w:hAnsi="宋体" w:cs="宋体"/>
                <w:b/>
                <w:color w:val="auto"/>
                <w:kern w:val="0"/>
                <w:sz w:val="20"/>
                <w:szCs w:val="20"/>
                <w:highlight w:val="none"/>
              </w:rPr>
              <w:t>弯头</w:t>
            </w:r>
            <w:r>
              <w:rPr>
                <w:rStyle w:val="26"/>
                <w:rFonts w:hint="default"/>
                <w:color w:val="auto"/>
                <w:sz w:val="18"/>
                <w:szCs w:val="18"/>
                <w:highlight w:val="none"/>
              </w:rPr>
              <w:t>（包括45°、</w:t>
            </w:r>
            <w:r>
              <w:rPr>
                <w:rStyle w:val="32"/>
                <w:rFonts w:hint="eastAsia" w:ascii="宋体" w:hAnsi="宋体" w:cs="宋体"/>
                <w:color w:val="auto"/>
                <w:sz w:val="18"/>
                <w:szCs w:val="18"/>
                <w:highlight w:val="none"/>
              </w:rPr>
              <w:t>90</w:t>
            </w:r>
            <w:r>
              <w:rPr>
                <w:rStyle w:val="26"/>
                <w:rFonts w:hint="default"/>
                <w:color w:val="auto"/>
                <w:sz w:val="18"/>
                <w:szCs w:val="18"/>
                <w:highlight w:val="none"/>
              </w:rPr>
              <w:t>°、</w:t>
            </w:r>
            <w:r>
              <w:rPr>
                <w:rStyle w:val="32"/>
                <w:rFonts w:hint="eastAsia" w:ascii="宋体" w:hAnsi="宋体" w:cs="宋体"/>
                <w:color w:val="auto"/>
                <w:sz w:val="18"/>
                <w:szCs w:val="18"/>
                <w:highlight w:val="none"/>
              </w:rPr>
              <w:t>180</w:t>
            </w:r>
            <w:r>
              <w:rPr>
                <w:rStyle w:val="26"/>
                <w:rFonts w:hint="default"/>
                <w:color w:val="auto"/>
                <w:sz w:val="18"/>
                <w:szCs w:val="18"/>
                <w:highlight w:val="none"/>
              </w:rPr>
              <w:t>°等各角度弯头）</w:t>
            </w:r>
          </w:p>
        </w:tc>
        <w:tc>
          <w:tcPr>
            <w:tcW w:w="4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74D6E322">
            <w:pPr>
              <w:widowControl/>
              <w:spacing w:line="360" w:lineRule="auto"/>
              <w:textAlignment w:val="top"/>
              <w:rPr>
                <w:rFonts w:ascii="宋体" w:hAnsi="宋体" w:cs="宋体"/>
                <w:color w:val="auto"/>
                <w:sz w:val="20"/>
                <w:szCs w:val="20"/>
                <w:highlight w:val="none"/>
              </w:rPr>
            </w:pPr>
            <w:r>
              <w:rPr>
                <w:rFonts w:hint="eastAsia" w:ascii="宋体" w:hAnsi="宋体" w:cs="宋体"/>
                <w:color w:val="auto"/>
                <w:kern w:val="0"/>
                <w:sz w:val="20"/>
                <w:szCs w:val="20"/>
                <w:highlight w:val="none"/>
                <w:bdr w:val="single" w:color="auto" w:sz="4" w:space="0"/>
              </w:rPr>
              <w:drawing>
                <wp:anchor distT="0" distB="0" distL="114300" distR="114300" simplePos="0" relativeHeight="251661312" behindDoc="0" locked="0" layoutInCell="1" allowOverlap="1">
                  <wp:simplePos x="0" y="0"/>
                  <wp:positionH relativeFrom="column">
                    <wp:posOffset>675005</wp:posOffset>
                  </wp:positionH>
                  <wp:positionV relativeFrom="paragraph">
                    <wp:posOffset>21590</wp:posOffset>
                  </wp:positionV>
                  <wp:extent cx="1086485" cy="1081405"/>
                  <wp:effectExtent l="0" t="0" r="10795" b="63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1086485" cy="1081405"/>
                          </a:xfrm>
                          <a:prstGeom prst="rect">
                            <a:avLst/>
                          </a:prstGeom>
                          <a:noFill/>
                          <a:ln>
                            <a:noFill/>
                          </a:ln>
                        </pic:spPr>
                      </pic:pic>
                    </a:graphicData>
                  </a:graphic>
                </wp:anchor>
              </w:drawing>
            </w:r>
          </w:p>
        </w:tc>
        <w:tc>
          <w:tcPr>
            <w:tcW w:w="1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1BA718">
            <w:pPr>
              <w:widowControl/>
              <w:spacing w:line="360" w:lineRule="auto"/>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寸径（</w:t>
            </w:r>
            <w:r>
              <w:rPr>
                <w:rStyle w:val="32"/>
                <w:rFonts w:hint="eastAsia" w:ascii="宋体" w:hAnsi="宋体" w:cs="宋体"/>
                <w:color w:val="auto"/>
                <w:highlight w:val="none"/>
              </w:rPr>
              <w:t>Din</w:t>
            </w:r>
            <w:r>
              <w:rPr>
                <w:rStyle w:val="26"/>
                <w:rFonts w:hint="default"/>
                <w:color w:val="auto"/>
                <w:highlight w:val="none"/>
              </w:rPr>
              <w:t>）</w:t>
            </w:r>
            <w:r>
              <w:rPr>
                <w:rStyle w:val="32"/>
                <w:rFonts w:hint="eastAsia" w:ascii="宋体" w:hAnsi="宋体" w:cs="宋体"/>
                <w:color w:val="auto"/>
                <w:highlight w:val="none"/>
              </w:rPr>
              <w:t>=A*2</w:t>
            </w:r>
          </w:p>
        </w:tc>
      </w:tr>
      <w:tr w14:paraId="28E71CAE">
        <w:tblPrEx>
          <w:tblCellMar>
            <w:top w:w="0" w:type="dxa"/>
            <w:left w:w="0" w:type="dxa"/>
            <w:bottom w:w="0" w:type="dxa"/>
            <w:right w:w="0" w:type="dxa"/>
          </w:tblCellMar>
        </w:tblPrEx>
        <w:trPr>
          <w:trHeight w:val="1470" w:hRule="atLeast"/>
        </w:trPr>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762039">
            <w:pPr>
              <w:widowControl/>
              <w:spacing w:line="360" w:lineRule="auto"/>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w:t>
            </w:r>
          </w:p>
        </w:tc>
        <w:tc>
          <w:tcPr>
            <w:tcW w:w="26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19951D">
            <w:pPr>
              <w:widowControl/>
              <w:spacing w:line="360" w:lineRule="auto"/>
              <w:textAlignment w:val="center"/>
              <w:rPr>
                <w:rFonts w:ascii="宋体" w:hAnsi="宋体" w:cs="宋体"/>
                <w:b/>
                <w:color w:val="auto"/>
                <w:sz w:val="20"/>
                <w:szCs w:val="20"/>
                <w:highlight w:val="none"/>
              </w:rPr>
            </w:pPr>
            <w:r>
              <w:rPr>
                <w:rFonts w:hint="eastAsia" w:ascii="宋体" w:hAnsi="宋体" w:cs="宋体"/>
                <w:b/>
                <w:color w:val="auto"/>
                <w:kern w:val="0"/>
                <w:sz w:val="20"/>
                <w:szCs w:val="20"/>
                <w:highlight w:val="none"/>
              </w:rPr>
              <w:t>异径管</w:t>
            </w:r>
            <w:r>
              <w:rPr>
                <w:rStyle w:val="26"/>
                <w:rFonts w:hint="default"/>
                <w:color w:val="auto"/>
                <w:highlight w:val="none"/>
              </w:rPr>
              <w:t>（包括同心异径管、偏心异径管、异径弯头）</w:t>
            </w:r>
          </w:p>
        </w:tc>
        <w:tc>
          <w:tcPr>
            <w:tcW w:w="4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2D281DEF">
            <w:pPr>
              <w:widowControl/>
              <w:spacing w:line="360" w:lineRule="auto"/>
              <w:textAlignment w:val="top"/>
              <w:rPr>
                <w:rFonts w:ascii="宋体" w:hAnsi="宋体" w:cs="宋体"/>
                <w:color w:val="auto"/>
                <w:sz w:val="20"/>
                <w:szCs w:val="20"/>
                <w:highlight w:val="none"/>
              </w:rPr>
            </w:pPr>
            <w:r>
              <w:rPr>
                <w:rFonts w:hint="eastAsia" w:ascii="宋体" w:hAnsi="宋体" w:cs="宋体"/>
                <w:color w:val="auto"/>
                <w:kern w:val="0"/>
                <w:sz w:val="20"/>
                <w:szCs w:val="20"/>
                <w:highlight w:val="none"/>
                <w:bdr w:val="single" w:color="auto" w:sz="4" w:space="0"/>
              </w:rPr>
              <w:drawing>
                <wp:anchor distT="0" distB="0" distL="114300" distR="114300" simplePos="0" relativeHeight="251662336" behindDoc="0" locked="0" layoutInCell="1" allowOverlap="1">
                  <wp:simplePos x="0" y="0"/>
                  <wp:positionH relativeFrom="column">
                    <wp:posOffset>479425</wp:posOffset>
                  </wp:positionH>
                  <wp:positionV relativeFrom="paragraph">
                    <wp:posOffset>160655</wp:posOffset>
                  </wp:positionV>
                  <wp:extent cx="1619885" cy="638175"/>
                  <wp:effectExtent l="0" t="0" r="10795" b="190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1619885" cy="638175"/>
                          </a:xfrm>
                          <a:prstGeom prst="rect">
                            <a:avLst/>
                          </a:prstGeom>
                          <a:noFill/>
                          <a:ln>
                            <a:noFill/>
                          </a:ln>
                        </pic:spPr>
                      </pic:pic>
                    </a:graphicData>
                  </a:graphic>
                </wp:anchor>
              </w:drawing>
            </w:r>
          </w:p>
        </w:tc>
        <w:tc>
          <w:tcPr>
            <w:tcW w:w="1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325E23">
            <w:pPr>
              <w:widowControl/>
              <w:spacing w:line="360" w:lineRule="auto"/>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寸径（</w:t>
            </w:r>
            <w:r>
              <w:rPr>
                <w:rStyle w:val="32"/>
                <w:rFonts w:hint="eastAsia" w:ascii="宋体" w:hAnsi="宋体" w:cs="宋体"/>
                <w:color w:val="auto"/>
                <w:highlight w:val="none"/>
              </w:rPr>
              <w:t>Din</w:t>
            </w:r>
            <w:r>
              <w:rPr>
                <w:rStyle w:val="26"/>
                <w:rFonts w:hint="default"/>
                <w:color w:val="auto"/>
                <w:highlight w:val="none"/>
              </w:rPr>
              <w:t>）</w:t>
            </w:r>
            <w:r>
              <w:rPr>
                <w:rStyle w:val="32"/>
                <w:rFonts w:hint="eastAsia" w:ascii="宋体" w:hAnsi="宋体" w:cs="宋体"/>
                <w:color w:val="auto"/>
                <w:highlight w:val="none"/>
              </w:rPr>
              <w:t>=A+B</w:t>
            </w:r>
          </w:p>
        </w:tc>
      </w:tr>
      <w:tr w14:paraId="15C30865">
        <w:tblPrEx>
          <w:tblCellMar>
            <w:top w:w="0" w:type="dxa"/>
            <w:left w:w="0" w:type="dxa"/>
            <w:bottom w:w="0" w:type="dxa"/>
            <w:right w:w="0" w:type="dxa"/>
          </w:tblCellMar>
        </w:tblPrEx>
        <w:trPr>
          <w:trHeight w:val="1970" w:hRule="atLeast"/>
        </w:trPr>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FA7E1C">
            <w:pPr>
              <w:widowControl/>
              <w:spacing w:line="360" w:lineRule="auto"/>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4</w:t>
            </w:r>
          </w:p>
        </w:tc>
        <w:tc>
          <w:tcPr>
            <w:tcW w:w="26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F49BF1">
            <w:pPr>
              <w:widowControl/>
              <w:spacing w:line="360" w:lineRule="auto"/>
              <w:textAlignment w:val="center"/>
              <w:rPr>
                <w:rFonts w:ascii="宋体" w:hAnsi="宋体" w:cs="宋体"/>
                <w:b/>
                <w:color w:val="auto"/>
                <w:sz w:val="20"/>
                <w:szCs w:val="20"/>
                <w:highlight w:val="none"/>
              </w:rPr>
            </w:pPr>
            <w:r>
              <w:rPr>
                <w:rFonts w:hint="eastAsia" w:ascii="宋体" w:hAnsi="宋体" w:cs="宋体"/>
                <w:b/>
                <w:color w:val="auto"/>
                <w:kern w:val="0"/>
                <w:sz w:val="20"/>
                <w:szCs w:val="20"/>
                <w:highlight w:val="none"/>
              </w:rPr>
              <w:t>三通</w:t>
            </w:r>
            <w:r>
              <w:rPr>
                <w:rStyle w:val="26"/>
                <w:rFonts w:hint="default"/>
                <w:color w:val="auto"/>
                <w:highlight w:val="none"/>
              </w:rPr>
              <w:t>（包括等径三通、异径三通、等径或异径非正交三通）</w:t>
            </w:r>
          </w:p>
        </w:tc>
        <w:tc>
          <w:tcPr>
            <w:tcW w:w="4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3C5FBF4B">
            <w:pPr>
              <w:widowControl/>
              <w:spacing w:line="360" w:lineRule="auto"/>
              <w:textAlignment w:val="top"/>
              <w:rPr>
                <w:rFonts w:ascii="宋体" w:hAnsi="宋体" w:cs="宋体"/>
                <w:color w:val="auto"/>
                <w:sz w:val="20"/>
                <w:szCs w:val="20"/>
                <w:highlight w:val="none"/>
              </w:rPr>
            </w:pPr>
            <w:r>
              <w:rPr>
                <w:rFonts w:hint="eastAsia" w:ascii="宋体" w:hAnsi="宋体" w:cs="宋体"/>
                <w:color w:val="auto"/>
                <w:kern w:val="0"/>
                <w:sz w:val="20"/>
                <w:szCs w:val="20"/>
                <w:highlight w:val="none"/>
                <w:bdr w:val="single" w:color="auto" w:sz="4" w:space="0"/>
              </w:rPr>
              <w:drawing>
                <wp:anchor distT="0" distB="0" distL="114300" distR="114300" simplePos="0" relativeHeight="251663360" behindDoc="0" locked="0" layoutInCell="1" allowOverlap="1">
                  <wp:simplePos x="0" y="0"/>
                  <wp:positionH relativeFrom="column">
                    <wp:posOffset>429260</wp:posOffset>
                  </wp:positionH>
                  <wp:positionV relativeFrom="paragraph">
                    <wp:posOffset>38735</wp:posOffset>
                  </wp:positionV>
                  <wp:extent cx="1659255" cy="1041400"/>
                  <wp:effectExtent l="0" t="0" r="1905" b="1016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1659255" cy="1041400"/>
                          </a:xfrm>
                          <a:prstGeom prst="rect">
                            <a:avLst/>
                          </a:prstGeom>
                          <a:noFill/>
                          <a:ln>
                            <a:noFill/>
                          </a:ln>
                        </pic:spPr>
                      </pic:pic>
                    </a:graphicData>
                  </a:graphic>
                </wp:anchor>
              </w:drawing>
            </w:r>
          </w:p>
        </w:tc>
        <w:tc>
          <w:tcPr>
            <w:tcW w:w="1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FF42C7">
            <w:pPr>
              <w:widowControl/>
              <w:spacing w:line="360" w:lineRule="auto"/>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寸径（</w:t>
            </w:r>
            <w:r>
              <w:rPr>
                <w:rStyle w:val="32"/>
                <w:rFonts w:hint="eastAsia" w:ascii="宋体" w:hAnsi="宋体" w:cs="宋体"/>
                <w:color w:val="auto"/>
                <w:highlight w:val="none"/>
              </w:rPr>
              <w:t>Din</w:t>
            </w:r>
            <w:r>
              <w:rPr>
                <w:rStyle w:val="26"/>
                <w:rFonts w:hint="default"/>
                <w:color w:val="auto"/>
                <w:highlight w:val="none"/>
              </w:rPr>
              <w:t>）</w:t>
            </w:r>
            <w:r>
              <w:rPr>
                <w:rStyle w:val="32"/>
                <w:rFonts w:hint="eastAsia" w:ascii="宋体" w:hAnsi="宋体" w:cs="宋体"/>
                <w:color w:val="auto"/>
                <w:highlight w:val="none"/>
              </w:rPr>
              <w:t>=A*2+B</w:t>
            </w:r>
          </w:p>
        </w:tc>
      </w:tr>
      <w:tr w14:paraId="678FD293">
        <w:tblPrEx>
          <w:tblCellMar>
            <w:top w:w="0" w:type="dxa"/>
            <w:left w:w="0" w:type="dxa"/>
            <w:bottom w:w="0" w:type="dxa"/>
            <w:right w:w="0" w:type="dxa"/>
          </w:tblCellMar>
        </w:tblPrEx>
        <w:trPr>
          <w:trHeight w:val="1625" w:hRule="atLeast"/>
        </w:trPr>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DA4E44">
            <w:pPr>
              <w:widowControl/>
              <w:spacing w:line="360" w:lineRule="auto"/>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5</w:t>
            </w:r>
          </w:p>
        </w:tc>
        <w:tc>
          <w:tcPr>
            <w:tcW w:w="26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BAACD8">
            <w:pPr>
              <w:widowControl/>
              <w:spacing w:line="360" w:lineRule="auto"/>
              <w:textAlignment w:val="center"/>
              <w:rPr>
                <w:rFonts w:ascii="宋体" w:hAnsi="宋体" w:cs="宋体"/>
                <w:b/>
                <w:color w:val="auto"/>
                <w:sz w:val="20"/>
                <w:szCs w:val="20"/>
                <w:highlight w:val="none"/>
              </w:rPr>
            </w:pPr>
            <w:r>
              <w:rPr>
                <w:rFonts w:hint="eastAsia" w:ascii="宋体" w:hAnsi="宋体" w:cs="宋体"/>
                <w:b/>
                <w:color w:val="auto"/>
                <w:kern w:val="0"/>
                <w:sz w:val="20"/>
                <w:szCs w:val="20"/>
                <w:highlight w:val="none"/>
              </w:rPr>
              <w:t>法兰</w:t>
            </w:r>
            <w:r>
              <w:rPr>
                <w:rStyle w:val="26"/>
                <w:rFonts w:hint="default"/>
                <w:color w:val="auto"/>
                <w:highlight w:val="none"/>
              </w:rPr>
              <w:t>（包括板式平焊、带颈平焊、带颈对焊、活套法兰、承插法兰等各种连接形式焊接法兰）</w:t>
            </w:r>
          </w:p>
        </w:tc>
        <w:tc>
          <w:tcPr>
            <w:tcW w:w="4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689822BA">
            <w:pPr>
              <w:widowControl/>
              <w:spacing w:line="360" w:lineRule="auto"/>
              <w:textAlignment w:val="top"/>
              <w:rPr>
                <w:rFonts w:ascii="宋体" w:hAnsi="宋体" w:cs="宋体"/>
                <w:color w:val="auto"/>
                <w:sz w:val="20"/>
                <w:szCs w:val="20"/>
                <w:highlight w:val="none"/>
              </w:rPr>
            </w:pPr>
            <w:r>
              <w:rPr>
                <w:rFonts w:hint="eastAsia" w:ascii="宋体" w:hAnsi="宋体" w:cs="宋体"/>
                <w:color w:val="auto"/>
                <w:kern w:val="0"/>
                <w:sz w:val="20"/>
                <w:szCs w:val="20"/>
                <w:highlight w:val="none"/>
                <w:bdr w:val="single" w:color="auto" w:sz="4" w:space="0"/>
              </w:rPr>
              <w:drawing>
                <wp:anchor distT="0" distB="0" distL="114300" distR="114300" simplePos="0" relativeHeight="251664384" behindDoc="0" locked="0" layoutInCell="1" allowOverlap="1">
                  <wp:simplePos x="0" y="0"/>
                  <wp:positionH relativeFrom="column">
                    <wp:posOffset>420370</wp:posOffset>
                  </wp:positionH>
                  <wp:positionV relativeFrom="paragraph">
                    <wp:posOffset>77470</wp:posOffset>
                  </wp:positionV>
                  <wp:extent cx="1609725" cy="800735"/>
                  <wp:effectExtent l="0" t="0" r="5715" b="6985"/>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a:stretch>
                            <a:fillRect/>
                          </a:stretch>
                        </pic:blipFill>
                        <pic:spPr>
                          <a:xfrm>
                            <a:off x="0" y="0"/>
                            <a:ext cx="1609725" cy="800735"/>
                          </a:xfrm>
                          <a:prstGeom prst="rect">
                            <a:avLst/>
                          </a:prstGeom>
                          <a:noFill/>
                          <a:ln>
                            <a:noFill/>
                          </a:ln>
                        </pic:spPr>
                      </pic:pic>
                    </a:graphicData>
                  </a:graphic>
                </wp:anchor>
              </w:drawing>
            </w:r>
          </w:p>
        </w:tc>
        <w:tc>
          <w:tcPr>
            <w:tcW w:w="1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8A019A">
            <w:pPr>
              <w:widowControl/>
              <w:spacing w:line="360" w:lineRule="auto"/>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寸径（</w:t>
            </w:r>
            <w:r>
              <w:rPr>
                <w:rStyle w:val="32"/>
                <w:rFonts w:hint="eastAsia" w:ascii="宋体" w:hAnsi="宋体" w:cs="宋体"/>
                <w:color w:val="auto"/>
                <w:highlight w:val="none"/>
              </w:rPr>
              <w:t>Din</w:t>
            </w:r>
            <w:r>
              <w:rPr>
                <w:rStyle w:val="26"/>
                <w:rFonts w:hint="default"/>
                <w:color w:val="auto"/>
                <w:highlight w:val="none"/>
              </w:rPr>
              <w:t>）</w:t>
            </w:r>
            <w:r>
              <w:rPr>
                <w:rStyle w:val="32"/>
                <w:rFonts w:hint="eastAsia" w:ascii="宋体" w:hAnsi="宋体" w:cs="宋体"/>
                <w:color w:val="auto"/>
                <w:highlight w:val="none"/>
              </w:rPr>
              <w:t>=A</w:t>
            </w:r>
          </w:p>
        </w:tc>
      </w:tr>
      <w:tr w14:paraId="2455E044">
        <w:tblPrEx>
          <w:tblCellMar>
            <w:top w:w="0" w:type="dxa"/>
            <w:left w:w="0" w:type="dxa"/>
            <w:bottom w:w="0" w:type="dxa"/>
            <w:right w:w="0" w:type="dxa"/>
          </w:tblCellMar>
        </w:tblPrEx>
        <w:trPr>
          <w:trHeight w:val="1420" w:hRule="atLeast"/>
        </w:trPr>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806977">
            <w:pPr>
              <w:widowControl/>
              <w:spacing w:line="360" w:lineRule="auto"/>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6</w:t>
            </w:r>
          </w:p>
        </w:tc>
        <w:tc>
          <w:tcPr>
            <w:tcW w:w="26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B0C20E">
            <w:pPr>
              <w:widowControl/>
              <w:spacing w:line="360" w:lineRule="auto"/>
              <w:textAlignment w:val="center"/>
              <w:rPr>
                <w:rFonts w:ascii="宋体" w:hAnsi="宋体" w:cs="宋体"/>
                <w:b/>
                <w:color w:val="auto"/>
                <w:sz w:val="20"/>
                <w:szCs w:val="20"/>
                <w:highlight w:val="none"/>
              </w:rPr>
            </w:pPr>
            <w:r>
              <w:rPr>
                <w:rFonts w:hint="eastAsia" w:ascii="宋体" w:hAnsi="宋体" w:cs="宋体"/>
                <w:b/>
                <w:color w:val="auto"/>
                <w:kern w:val="0"/>
                <w:sz w:val="20"/>
                <w:szCs w:val="20"/>
                <w:highlight w:val="none"/>
              </w:rPr>
              <w:t>管帽</w:t>
            </w:r>
          </w:p>
        </w:tc>
        <w:tc>
          <w:tcPr>
            <w:tcW w:w="4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421B48BA">
            <w:pPr>
              <w:widowControl/>
              <w:spacing w:line="360" w:lineRule="auto"/>
              <w:textAlignment w:val="top"/>
              <w:rPr>
                <w:rFonts w:ascii="宋体" w:hAnsi="宋体" w:cs="宋体"/>
                <w:color w:val="auto"/>
                <w:sz w:val="20"/>
                <w:szCs w:val="20"/>
                <w:highlight w:val="none"/>
              </w:rPr>
            </w:pPr>
            <w:r>
              <w:rPr>
                <w:rFonts w:hint="eastAsia" w:ascii="宋体" w:hAnsi="宋体" w:cs="宋体"/>
                <w:color w:val="auto"/>
                <w:kern w:val="0"/>
                <w:sz w:val="20"/>
                <w:szCs w:val="20"/>
                <w:highlight w:val="none"/>
                <w:bdr w:val="single" w:color="auto" w:sz="4" w:space="0"/>
              </w:rPr>
              <w:drawing>
                <wp:anchor distT="0" distB="0" distL="114300" distR="114300" simplePos="0" relativeHeight="251665408" behindDoc="0" locked="0" layoutInCell="1" allowOverlap="1">
                  <wp:simplePos x="0" y="0"/>
                  <wp:positionH relativeFrom="column">
                    <wp:posOffset>372745</wp:posOffset>
                  </wp:positionH>
                  <wp:positionV relativeFrom="paragraph">
                    <wp:posOffset>71120</wp:posOffset>
                  </wp:positionV>
                  <wp:extent cx="1771650" cy="706755"/>
                  <wp:effectExtent l="0" t="0" r="11430" b="9525"/>
                  <wp:wrapNone/>
                  <wp:docPr id="1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7"/>
                          <pic:cNvPicPr>
                            <a:picLocks noChangeAspect="1"/>
                          </pic:cNvPicPr>
                        </pic:nvPicPr>
                        <pic:blipFill>
                          <a:blip r:embed="rId11"/>
                          <a:stretch>
                            <a:fillRect/>
                          </a:stretch>
                        </pic:blipFill>
                        <pic:spPr>
                          <a:xfrm>
                            <a:off x="0" y="0"/>
                            <a:ext cx="1771650" cy="706755"/>
                          </a:xfrm>
                          <a:prstGeom prst="rect">
                            <a:avLst/>
                          </a:prstGeom>
                          <a:noFill/>
                          <a:ln>
                            <a:noFill/>
                          </a:ln>
                        </pic:spPr>
                      </pic:pic>
                    </a:graphicData>
                  </a:graphic>
                </wp:anchor>
              </w:drawing>
            </w:r>
          </w:p>
        </w:tc>
        <w:tc>
          <w:tcPr>
            <w:tcW w:w="1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4CED9F">
            <w:pPr>
              <w:widowControl/>
              <w:spacing w:line="360" w:lineRule="auto"/>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寸径（</w:t>
            </w:r>
            <w:r>
              <w:rPr>
                <w:rStyle w:val="32"/>
                <w:rFonts w:hint="eastAsia" w:ascii="宋体" w:hAnsi="宋体" w:cs="宋体"/>
                <w:color w:val="auto"/>
                <w:highlight w:val="none"/>
              </w:rPr>
              <w:t>Din</w:t>
            </w:r>
            <w:r>
              <w:rPr>
                <w:rStyle w:val="26"/>
                <w:rFonts w:hint="default"/>
                <w:color w:val="auto"/>
                <w:highlight w:val="none"/>
              </w:rPr>
              <w:t>）</w:t>
            </w:r>
            <w:r>
              <w:rPr>
                <w:rStyle w:val="32"/>
                <w:rFonts w:hint="eastAsia" w:ascii="宋体" w:hAnsi="宋体" w:cs="宋体"/>
                <w:color w:val="auto"/>
                <w:highlight w:val="none"/>
              </w:rPr>
              <w:t>=A</w:t>
            </w:r>
          </w:p>
        </w:tc>
      </w:tr>
      <w:tr w14:paraId="5AD823BD">
        <w:tblPrEx>
          <w:tblCellMar>
            <w:top w:w="0" w:type="dxa"/>
            <w:left w:w="0" w:type="dxa"/>
            <w:bottom w:w="0" w:type="dxa"/>
            <w:right w:w="0" w:type="dxa"/>
          </w:tblCellMar>
        </w:tblPrEx>
        <w:trPr>
          <w:trHeight w:val="1489" w:hRule="atLeast"/>
        </w:trPr>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A6104D">
            <w:pPr>
              <w:widowControl/>
              <w:spacing w:line="360" w:lineRule="auto"/>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7</w:t>
            </w:r>
          </w:p>
        </w:tc>
        <w:tc>
          <w:tcPr>
            <w:tcW w:w="26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54C680">
            <w:pPr>
              <w:widowControl/>
              <w:spacing w:line="360" w:lineRule="auto"/>
              <w:textAlignment w:val="center"/>
              <w:rPr>
                <w:rFonts w:ascii="宋体" w:hAnsi="宋体" w:cs="宋体"/>
                <w:b/>
                <w:color w:val="auto"/>
                <w:sz w:val="20"/>
                <w:szCs w:val="20"/>
                <w:highlight w:val="none"/>
              </w:rPr>
            </w:pPr>
            <w:r>
              <w:rPr>
                <w:rFonts w:hint="eastAsia" w:ascii="宋体" w:hAnsi="宋体" w:cs="宋体"/>
                <w:b/>
                <w:color w:val="auto"/>
                <w:kern w:val="0"/>
                <w:sz w:val="20"/>
                <w:szCs w:val="20"/>
                <w:highlight w:val="none"/>
              </w:rPr>
              <w:t>支管台</w:t>
            </w:r>
            <w:r>
              <w:rPr>
                <w:rStyle w:val="26"/>
                <w:rFonts w:hint="default"/>
                <w:color w:val="auto"/>
                <w:highlight w:val="none"/>
              </w:rPr>
              <w:t>（包括管台、管座、半管接头等）</w:t>
            </w:r>
          </w:p>
        </w:tc>
        <w:tc>
          <w:tcPr>
            <w:tcW w:w="4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3ABE7AC0">
            <w:pPr>
              <w:widowControl/>
              <w:spacing w:line="360" w:lineRule="auto"/>
              <w:textAlignment w:val="top"/>
              <w:rPr>
                <w:rFonts w:ascii="宋体" w:hAnsi="宋体" w:cs="宋体"/>
                <w:color w:val="auto"/>
                <w:sz w:val="20"/>
                <w:szCs w:val="20"/>
                <w:highlight w:val="none"/>
              </w:rPr>
            </w:pPr>
            <w:r>
              <w:rPr>
                <w:rFonts w:hint="eastAsia" w:ascii="宋体" w:hAnsi="宋体" w:cs="宋体"/>
                <w:color w:val="auto"/>
                <w:kern w:val="0"/>
                <w:sz w:val="20"/>
                <w:szCs w:val="20"/>
                <w:highlight w:val="none"/>
                <w:bdr w:val="single" w:color="auto" w:sz="4" w:space="0"/>
              </w:rPr>
              <w:drawing>
                <wp:anchor distT="0" distB="0" distL="114300" distR="114300" simplePos="0" relativeHeight="251666432" behindDoc="0" locked="0" layoutInCell="1" allowOverlap="1">
                  <wp:simplePos x="0" y="0"/>
                  <wp:positionH relativeFrom="column">
                    <wp:posOffset>454660</wp:posOffset>
                  </wp:positionH>
                  <wp:positionV relativeFrom="paragraph">
                    <wp:posOffset>94615</wp:posOffset>
                  </wp:positionV>
                  <wp:extent cx="1734820" cy="845820"/>
                  <wp:effectExtent l="0" t="0" r="2540" b="7620"/>
                  <wp:wrapNone/>
                  <wp:docPr id="1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8"/>
                          <pic:cNvPicPr>
                            <a:picLocks noChangeAspect="1"/>
                          </pic:cNvPicPr>
                        </pic:nvPicPr>
                        <pic:blipFill>
                          <a:blip r:embed="rId12"/>
                          <a:stretch>
                            <a:fillRect/>
                          </a:stretch>
                        </pic:blipFill>
                        <pic:spPr>
                          <a:xfrm>
                            <a:off x="0" y="0"/>
                            <a:ext cx="1734820" cy="845820"/>
                          </a:xfrm>
                          <a:prstGeom prst="rect">
                            <a:avLst/>
                          </a:prstGeom>
                          <a:noFill/>
                          <a:ln>
                            <a:noFill/>
                          </a:ln>
                        </pic:spPr>
                      </pic:pic>
                    </a:graphicData>
                  </a:graphic>
                </wp:anchor>
              </w:drawing>
            </w:r>
          </w:p>
        </w:tc>
        <w:tc>
          <w:tcPr>
            <w:tcW w:w="1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063E47">
            <w:pPr>
              <w:widowControl/>
              <w:spacing w:line="360" w:lineRule="auto"/>
              <w:textAlignment w:val="center"/>
              <w:rPr>
                <w:rFonts w:hint="default" w:ascii="宋体" w:hAnsi="宋体" w:eastAsia="宋体" w:cs="宋体"/>
                <w:color w:val="auto"/>
                <w:sz w:val="20"/>
                <w:szCs w:val="20"/>
                <w:highlight w:val="none"/>
                <w:lang w:val="en-US" w:eastAsia="zh-CN"/>
              </w:rPr>
            </w:pPr>
            <w:r>
              <w:rPr>
                <w:rFonts w:hint="eastAsia" w:ascii="宋体" w:hAnsi="宋体" w:cs="宋体"/>
                <w:color w:val="auto"/>
                <w:kern w:val="0"/>
                <w:sz w:val="20"/>
                <w:szCs w:val="20"/>
                <w:highlight w:val="none"/>
              </w:rPr>
              <w:t>寸径（</w:t>
            </w:r>
            <w:r>
              <w:rPr>
                <w:rStyle w:val="32"/>
                <w:rFonts w:hint="eastAsia" w:ascii="宋体" w:hAnsi="宋体" w:cs="宋体"/>
                <w:color w:val="auto"/>
                <w:highlight w:val="none"/>
              </w:rPr>
              <w:t>Din</w:t>
            </w:r>
            <w:r>
              <w:rPr>
                <w:rStyle w:val="26"/>
                <w:rFonts w:hint="default"/>
                <w:color w:val="auto"/>
                <w:highlight w:val="none"/>
              </w:rPr>
              <w:t>）</w:t>
            </w:r>
            <w:r>
              <w:rPr>
                <w:rStyle w:val="32"/>
                <w:rFonts w:hint="eastAsia" w:ascii="宋体" w:hAnsi="宋体" w:cs="宋体"/>
                <w:color w:val="auto"/>
                <w:highlight w:val="none"/>
              </w:rPr>
              <w:t>=</w:t>
            </w:r>
            <w:r>
              <w:rPr>
                <w:rStyle w:val="32"/>
                <w:rFonts w:hint="eastAsia" w:ascii="宋体" w:hAnsi="宋体" w:cs="宋体"/>
                <w:color w:val="auto"/>
                <w:highlight w:val="none"/>
                <w:lang w:val="en-US" w:eastAsia="zh-CN"/>
              </w:rPr>
              <w:t>1.5B</w:t>
            </w:r>
          </w:p>
        </w:tc>
      </w:tr>
      <w:tr w14:paraId="483BDEBB">
        <w:tblPrEx>
          <w:tblCellMar>
            <w:top w:w="0" w:type="dxa"/>
            <w:left w:w="0" w:type="dxa"/>
            <w:bottom w:w="0" w:type="dxa"/>
            <w:right w:w="0" w:type="dxa"/>
          </w:tblCellMar>
        </w:tblPrEx>
        <w:trPr>
          <w:trHeight w:val="1600" w:hRule="atLeast"/>
        </w:trPr>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34CAD1">
            <w:pPr>
              <w:widowControl/>
              <w:spacing w:line="360" w:lineRule="auto"/>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8</w:t>
            </w:r>
          </w:p>
        </w:tc>
        <w:tc>
          <w:tcPr>
            <w:tcW w:w="26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3FB139">
            <w:pPr>
              <w:widowControl/>
              <w:spacing w:line="360" w:lineRule="auto"/>
              <w:textAlignment w:val="center"/>
              <w:rPr>
                <w:rFonts w:ascii="宋体" w:hAnsi="宋体" w:cs="宋体"/>
                <w:b/>
                <w:color w:val="auto"/>
                <w:sz w:val="20"/>
                <w:szCs w:val="20"/>
                <w:highlight w:val="none"/>
              </w:rPr>
            </w:pPr>
            <w:r>
              <w:rPr>
                <w:rFonts w:hint="eastAsia" w:ascii="宋体" w:hAnsi="宋体" w:cs="宋体"/>
                <w:b/>
                <w:color w:val="auto"/>
                <w:kern w:val="0"/>
                <w:sz w:val="20"/>
                <w:szCs w:val="20"/>
                <w:highlight w:val="none"/>
              </w:rPr>
              <w:t>挖眼三通</w:t>
            </w:r>
            <w:r>
              <w:rPr>
                <w:rStyle w:val="26"/>
                <w:rFonts w:hint="default"/>
                <w:color w:val="auto"/>
                <w:sz w:val="18"/>
                <w:szCs w:val="18"/>
                <w:highlight w:val="none"/>
              </w:rPr>
              <w:t>（</w:t>
            </w:r>
            <w:r>
              <w:rPr>
                <w:rStyle w:val="28"/>
                <w:rFonts w:hint="default"/>
                <w:color w:val="auto"/>
                <w:sz w:val="18"/>
                <w:szCs w:val="18"/>
                <w:highlight w:val="none"/>
                <w:vertAlign w:val="baseline"/>
              </w:rPr>
              <w:t>无补强圈</w:t>
            </w:r>
            <w:r>
              <w:rPr>
                <w:rStyle w:val="26"/>
                <w:rFonts w:hint="default"/>
                <w:color w:val="auto"/>
                <w:sz w:val="18"/>
                <w:szCs w:val="18"/>
                <w:highlight w:val="none"/>
              </w:rPr>
              <w:t>，包括正交、斜交或任意角度形式挖眼三通）</w:t>
            </w:r>
          </w:p>
        </w:tc>
        <w:tc>
          <w:tcPr>
            <w:tcW w:w="4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688F17BC">
            <w:pPr>
              <w:widowControl/>
              <w:spacing w:line="360" w:lineRule="auto"/>
              <w:textAlignment w:val="top"/>
              <w:rPr>
                <w:rFonts w:ascii="宋体" w:hAnsi="宋体" w:cs="宋体"/>
                <w:color w:val="auto"/>
                <w:sz w:val="20"/>
                <w:szCs w:val="20"/>
                <w:highlight w:val="none"/>
              </w:rPr>
            </w:pPr>
            <w:r>
              <w:rPr>
                <w:rFonts w:hint="eastAsia" w:ascii="宋体" w:hAnsi="宋体" w:cs="宋体"/>
                <w:color w:val="auto"/>
                <w:kern w:val="0"/>
                <w:sz w:val="20"/>
                <w:szCs w:val="20"/>
                <w:highlight w:val="none"/>
                <w:bdr w:val="single" w:color="auto" w:sz="4" w:space="0"/>
              </w:rPr>
              <w:drawing>
                <wp:anchor distT="0" distB="0" distL="114300" distR="114300" simplePos="0" relativeHeight="251667456" behindDoc="0" locked="0" layoutInCell="1" allowOverlap="1">
                  <wp:simplePos x="0" y="0"/>
                  <wp:positionH relativeFrom="column">
                    <wp:posOffset>429260</wp:posOffset>
                  </wp:positionH>
                  <wp:positionV relativeFrom="paragraph">
                    <wp:posOffset>43180</wp:posOffset>
                  </wp:positionV>
                  <wp:extent cx="1584325" cy="969645"/>
                  <wp:effectExtent l="0" t="0" r="635" b="5715"/>
                  <wp:wrapNone/>
                  <wp:docPr id="1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9"/>
                          <pic:cNvPicPr>
                            <a:picLocks noChangeAspect="1"/>
                          </pic:cNvPicPr>
                        </pic:nvPicPr>
                        <pic:blipFill>
                          <a:blip r:embed="rId13"/>
                          <a:stretch>
                            <a:fillRect/>
                          </a:stretch>
                        </pic:blipFill>
                        <pic:spPr>
                          <a:xfrm>
                            <a:off x="0" y="0"/>
                            <a:ext cx="1584325" cy="969645"/>
                          </a:xfrm>
                          <a:prstGeom prst="rect">
                            <a:avLst/>
                          </a:prstGeom>
                          <a:noFill/>
                          <a:ln>
                            <a:noFill/>
                          </a:ln>
                        </pic:spPr>
                      </pic:pic>
                    </a:graphicData>
                  </a:graphic>
                </wp:anchor>
              </w:drawing>
            </w:r>
          </w:p>
        </w:tc>
        <w:tc>
          <w:tcPr>
            <w:tcW w:w="1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EC6670">
            <w:pPr>
              <w:widowControl/>
              <w:spacing w:line="360" w:lineRule="auto"/>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寸径（</w:t>
            </w:r>
            <w:r>
              <w:rPr>
                <w:rStyle w:val="32"/>
                <w:rFonts w:hint="eastAsia" w:ascii="宋体" w:hAnsi="宋体" w:cs="宋体"/>
                <w:color w:val="auto"/>
                <w:highlight w:val="none"/>
              </w:rPr>
              <w:t>Din</w:t>
            </w:r>
            <w:r>
              <w:rPr>
                <w:rStyle w:val="26"/>
                <w:rFonts w:hint="default"/>
                <w:color w:val="auto"/>
                <w:highlight w:val="none"/>
              </w:rPr>
              <w:t>）</w:t>
            </w:r>
            <w:r>
              <w:rPr>
                <w:rStyle w:val="32"/>
                <w:rFonts w:hint="eastAsia" w:ascii="宋体" w:hAnsi="宋体" w:cs="宋体"/>
                <w:color w:val="auto"/>
                <w:highlight w:val="none"/>
              </w:rPr>
              <w:t>=B</w:t>
            </w:r>
          </w:p>
        </w:tc>
      </w:tr>
      <w:tr w14:paraId="58088AA1">
        <w:tblPrEx>
          <w:tblCellMar>
            <w:top w:w="0" w:type="dxa"/>
            <w:left w:w="0" w:type="dxa"/>
            <w:bottom w:w="0" w:type="dxa"/>
            <w:right w:w="0" w:type="dxa"/>
          </w:tblCellMar>
        </w:tblPrEx>
        <w:trPr>
          <w:trHeight w:val="2340" w:hRule="atLeast"/>
        </w:trPr>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556AD9">
            <w:pPr>
              <w:widowControl/>
              <w:spacing w:line="360" w:lineRule="auto"/>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9</w:t>
            </w:r>
          </w:p>
        </w:tc>
        <w:tc>
          <w:tcPr>
            <w:tcW w:w="26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6C52E4">
            <w:pPr>
              <w:widowControl/>
              <w:spacing w:line="360" w:lineRule="auto"/>
              <w:textAlignment w:val="center"/>
              <w:rPr>
                <w:rFonts w:ascii="宋体" w:hAnsi="宋体" w:cs="宋体"/>
                <w:b/>
                <w:color w:val="auto"/>
                <w:sz w:val="20"/>
                <w:szCs w:val="20"/>
                <w:highlight w:val="none"/>
              </w:rPr>
            </w:pPr>
            <w:r>
              <w:rPr>
                <w:rFonts w:hint="eastAsia" w:ascii="宋体" w:hAnsi="宋体" w:cs="宋体"/>
                <w:b/>
                <w:color w:val="auto"/>
                <w:kern w:val="0"/>
                <w:sz w:val="20"/>
                <w:szCs w:val="20"/>
                <w:highlight w:val="none"/>
              </w:rPr>
              <w:t>挖眼三通</w:t>
            </w:r>
            <w:r>
              <w:rPr>
                <w:rStyle w:val="26"/>
                <w:rFonts w:hint="default"/>
                <w:color w:val="auto"/>
                <w:highlight w:val="none"/>
              </w:rPr>
              <w:t>（有补强圈，包括正交、斜交或任意角度形式挖眼三通）</w:t>
            </w:r>
          </w:p>
        </w:tc>
        <w:tc>
          <w:tcPr>
            <w:tcW w:w="4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70F0D7B5">
            <w:pPr>
              <w:widowControl/>
              <w:spacing w:line="360" w:lineRule="auto"/>
              <w:textAlignment w:val="top"/>
              <w:rPr>
                <w:rFonts w:ascii="宋体" w:hAnsi="宋体" w:cs="宋体"/>
                <w:color w:val="auto"/>
                <w:sz w:val="20"/>
                <w:szCs w:val="20"/>
                <w:highlight w:val="none"/>
              </w:rPr>
            </w:pPr>
            <w:r>
              <w:rPr>
                <w:rFonts w:hint="eastAsia" w:ascii="宋体" w:hAnsi="宋体" w:cs="宋体"/>
                <w:color w:val="auto"/>
                <w:kern w:val="0"/>
                <w:sz w:val="20"/>
                <w:szCs w:val="20"/>
                <w:highlight w:val="none"/>
                <w:bdr w:val="single" w:color="auto" w:sz="4" w:space="0"/>
              </w:rPr>
              <w:drawing>
                <wp:anchor distT="0" distB="0" distL="114300" distR="114300" simplePos="0" relativeHeight="251668480" behindDoc="0" locked="0" layoutInCell="1" allowOverlap="1">
                  <wp:simplePos x="0" y="0"/>
                  <wp:positionH relativeFrom="column">
                    <wp:posOffset>438150</wp:posOffset>
                  </wp:positionH>
                  <wp:positionV relativeFrom="paragraph">
                    <wp:posOffset>254635</wp:posOffset>
                  </wp:positionV>
                  <wp:extent cx="1544320" cy="1078865"/>
                  <wp:effectExtent l="0" t="0" r="10160" b="3175"/>
                  <wp:wrapNone/>
                  <wp:docPr id="1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0"/>
                          <pic:cNvPicPr>
                            <a:picLocks noChangeAspect="1"/>
                          </pic:cNvPicPr>
                        </pic:nvPicPr>
                        <pic:blipFill>
                          <a:blip r:embed="rId14"/>
                          <a:stretch>
                            <a:fillRect/>
                          </a:stretch>
                        </pic:blipFill>
                        <pic:spPr>
                          <a:xfrm>
                            <a:off x="0" y="0"/>
                            <a:ext cx="1544320" cy="1078865"/>
                          </a:xfrm>
                          <a:prstGeom prst="rect">
                            <a:avLst/>
                          </a:prstGeom>
                          <a:noFill/>
                          <a:ln>
                            <a:noFill/>
                          </a:ln>
                        </pic:spPr>
                      </pic:pic>
                    </a:graphicData>
                  </a:graphic>
                </wp:anchor>
              </w:drawing>
            </w:r>
          </w:p>
        </w:tc>
        <w:tc>
          <w:tcPr>
            <w:tcW w:w="1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E04C7C">
            <w:pPr>
              <w:widowControl/>
              <w:spacing w:line="360" w:lineRule="auto"/>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寸径（</w:t>
            </w:r>
            <w:r>
              <w:rPr>
                <w:rStyle w:val="32"/>
                <w:rFonts w:hint="eastAsia" w:ascii="宋体" w:hAnsi="宋体" w:cs="宋体"/>
                <w:color w:val="auto"/>
                <w:highlight w:val="none"/>
              </w:rPr>
              <w:t>Din</w:t>
            </w:r>
            <w:r>
              <w:rPr>
                <w:rStyle w:val="26"/>
                <w:rFonts w:hint="default"/>
                <w:color w:val="auto"/>
                <w:highlight w:val="none"/>
              </w:rPr>
              <w:t>）</w:t>
            </w:r>
            <w:r>
              <w:rPr>
                <w:rStyle w:val="32"/>
                <w:rFonts w:hint="eastAsia" w:ascii="宋体" w:hAnsi="宋体" w:cs="宋体"/>
                <w:color w:val="auto"/>
                <w:highlight w:val="none"/>
              </w:rPr>
              <w:t>=B+(B+C)*0.5</w:t>
            </w:r>
            <w:r>
              <w:rPr>
                <w:rStyle w:val="26"/>
                <w:rFonts w:hint="default"/>
                <w:color w:val="auto"/>
                <w:highlight w:val="none"/>
              </w:rPr>
              <w:t>，若补强圈单独计算,则补强圈寸径（Din）=(B+C)*0.5</w:t>
            </w:r>
          </w:p>
        </w:tc>
      </w:tr>
    </w:tbl>
    <w:p w14:paraId="4B964E84">
      <w:pPr>
        <w:keepNext w:val="0"/>
        <w:keepLines w:val="0"/>
        <w:pageBreakBefore w:val="0"/>
        <w:widowControl w:val="0"/>
        <w:kinsoku/>
        <w:wordWrap/>
        <w:overflowPunct/>
        <w:topLinePunct w:val="0"/>
        <w:autoSpaceDE/>
        <w:autoSpaceDN/>
        <w:bidi w:val="0"/>
        <w:adjustRightInd/>
        <w:snapToGrid w:val="0"/>
        <w:spacing w:before="164" w:beforeLines="50" w:line="360" w:lineRule="auto"/>
        <w:ind w:firstLine="520" w:firstLineChars="200"/>
        <w:jc w:val="left"/>
        <w:textAlignment w:val="auto"/>
        <w:rPr>
          <w:rFonts w:ascii="宋体" w:hAnsi="宋体"/>
          <w:color w:val="auto"/>
          <w:spacing w:val="10"/>
          <w:sz w:val="24"/>
          <w:highlight w:val="none"/>
        </w:rPr>
      </w:pPr>
      <w:r>
        <w:rPr>
          <w:rFonts w:hint="eastAsia" w:ascii="宋体" w:hAnsi="宋体"/>
          <w:color w:val="auto"/>
          <w:spacing w:val="10"/>
          <w:sz w:val="24"/>
          <w:highlight w:val="none"/>
        </w:rPr>
        <w:t>（1）示例表中尺寸标注为公称直径对应寸径。</w:t>
      </w:r>
    </w:p>
    <w:p w14:paraId="4F8CEDA1">
      <w:pPr>
        <w:keepNext w:val="0"/>
        <w:keepLines w:val="0"/>
        <w:pageBreakBefore w:val="0"/>
        <w:widowControl w:val="0"/>
        <w:kinsoku/>
        <w:wordWrap/>
        <w:overflowPunct/>
        <w:topLinePunct w:val="0"/>
        <w:autoSpaceDE/>
        <w:autoSpaceDN/>
        <w:bidi w:val="0"/>
        <w:adjustRightInd/>
        <w:snapToGrid w:val="0"/>
        <w:spacing w:line="360" w:lineRule="auto"/>
        <w:ind w:firstLine="520" w:firstLineChars="200"/>
        <w:jc w:val="left"/>
        <w:textAlignment w:val="auto"/>
        <w:rPr>
          <w:rFonts w:ascii="宋体" w:hAnsi="宋体"/>
          <w:color w:val="auto"/>
          <w:spacing w:val="10"/>
          <w:sz w:val="24"/>
          <w:highlight w:val="none"/>
        </w:rPr>
      </w:pPr>
      <w:r>
        <w:rPr>
          <w:rFonts w:hint="eastAsia" w:ascii="宋体" w:hAnsi="宋体"/>
          <w:color w:val="auto"/>
          <w:spacing w:val="10"/>
          <w:sz w:val="24"/>
          <w:highlight w:val="none"/>
        </w:rPr>
        <w:t>（2）乙方应依据《SH3501-2015石油化工有毒可燃介质钢制管道工程施工及验收规范》要求，焊接工作完成后在单线图（轴测图）上标明焊缝编号、焊工代号、固定焊接位置（2G或5G）、无损检测方法、返修焊缝位置等可追溯标识。</w:t>
      </w:r>
    </w:p>
    <w:p w14:paraId="67BDA952">
      <w:pPr>
        <w:keepNext w:val="0"/>
        <w:keepLines w:val="0"/>
        <w:pageBreakBefore w:val="0"/>
        <w:widowControl w:val="0"/>
        <w:kinsoku/>
        <w:wordWrap/>
        <w:overflowPunct/>
        <w:topLinePunct w:val="0"/>
        <w:autoSpaceDE/>
        <w:autoSpaceDN/>
        <w:bidi w:val="0"/>
        <w:adjustRightInd/>
        <w:snapToGrid w:val="0"/>
        <w:spacing w:line="360" w:lineRule="auto"/>
        <w:ind w:firstLine="520" w:firstLineChars="200"/>
        <w:jc w:val="left"/>
        <w:textAlignment w:val="auto"/>
        <w:rPr>
          <w:rFonts w:ascii="宋体" w:hAnsi="宋体"/>
          <w:color w:val="auto"/>
          <w:spacing w:val="10"/>
          <w:sz w:val="24"/>
          <w:highlight w:val="none"/>
        </w:rPr>
      </w:pPr>
      <w:r>
        <w:rPr>
          <w:rFonts w:hint="eastAsia" w:ascii="宋体" w:hAnsi="宋体"/>
          <w:color w:val="auto"/>
          <w:spacing w:val="10"/>
          <w:sz w:val="24"/>
          <w:highlight w:val="none"/>
        </w:rPr>
        <w:t>（3）吋径工程量依据项目部逐张确认的标注焊缝编号的单线图计算，</w:t>
      </w:r>
    </w:p>
    <w:p w14:paraId="690C1058">
      <w:pPr>
        <w:keepNext w:val="0"/>
        <w:keepLines w:val="0"/>
        <w:pageBreakBefore w:val="0"/>
        <w:widowControl w:val="0"/>
        <w:kinsoku/>
        <w:wordWrap/>
        <w:overflowPunct/>
        <w:topLinePunct w:val="0"/>
        <w:autoSpaceDE/>
        <w:autoSpaceDN/>
        <w:bidi w:val="0"/>
        <w:adjustRightInd/>
        <w:snapToGrid w:val="0"/>
        <w:spacing w:line="360" w:lineRule="auto"/>
        <w:ind w:firstLine="520" w:firstLineChars="200"/>
        <w:jc w:val="left"/>
        <w:textAlignment w:val="auto"/>
        <w:rPr>
          <w:rFonts w:ascii="宋体" w:hAnsi="宋体"/>
          <w:color w:val="auto"/>
          <w:spacing w:val="10"/>
          <w:sz w:val="24"/>
          <w:highlight w:val="none"/>
        </w:rPr>
      </w:pPr>
      <w:r>
        <w:rPr>
          <w:rFonts w:hint="eastAsia" w:ascii="宋体" w:hAnsi="宋体"/>
          <w:color w:val="auto"/>
          <w:spacing w:val="10"/>
          <w:sz w:val="24"/>
          <w:highlight w:val="none"/>
        </w:rPr>
        <w:t>（4）若现场管道为供货厂家或其它单位已完成组对、焊接工作，乙方现场仅需安装及完成相应各类试验、吹扫工作，不区分管道材质执行碳钢管道预制安装综合单价×0.6，工程量依据签证据实计取。</w:t>
      </w:r>
    </w:p>
    <w:p w14:paraId="40950DFE">
      <w:pPr>
        <w:keepNext w:val="0"/>
        <w:keepLines w:val="0"/>
        <w:pageBreakBefore w:val="0"/>
        <w:widowControl w:val="0"/>
        <w:kinsoku/>
        <w:wordWrap/>
        <w:overflowPunct/>
        <w:topLinePunct w:val="0"/>
        <w:autoSpaceDE/>
        <w:autoSpaceDN/>
        <w:bidi w:val="0"/>
        <w:snapToGrid w:val="0"/>
        <w:spacing w:line="360" w:lineRule="auto"/>
        <w:ind w:firstLine="520" w:firstLineChars="200"/>
        <w:jc w:val="left"/>
        <w:textAlignment w:val="auto"/>
        <w:rPr>
          <w:rFonts w:ascii="宋体" w:hAnsi="宋体"/>
          <w:color w:val="auto"/>
          <w:spacing w:val="10"/>
          <w:sz w:val="24"/>
          <w:highlight w:val="none"/>
        </w:rPr>
      </w:pPr>
      <w:r>
        <w:rPr>
          <w:rFonts w:hint="eastAsia" w:ascii="宋体" w:hAnsi="宋体"/>
          <w:color w:val="auto"/>
          <w:spacing w:val="10"/>
          <w:sz w:val="24"/>
          <w:highlight w:val="none"/>
        </w:rPr>
        <w:t>2、管道支架</w:t>
      </w:r>
    </w:p>
    <w:p w14:paraId="0D33ECC6">
      <w:pPr>
        <w:pStyle w:val="47"/>
        <w:keepNext w:val="0"/>
        <w:keepLines w:val="0"/>
        <w:pageBreakBefore w:val="0"/>
        <w:widowControl w:val="0"/>
        <w:kinsoku/>
        <w:wordWrap/>
        <w:overflowPunct/>
        <w:topLinePunct w:val="0"/>
        <w:autoSpaceDE/>
        <w:autoSpaceDN/>
        <w:bidi w:val="0"/>
        <w:adjustRightInd w:val="0"/>
        <w:snapToGrid w:val="0"/>
        <w:spacing w:line="360" w:lineRule="auto"/>
        <w:ind w:firstLine="520" w:firstLineChars="200"/>
        <w:textAlignment w:val="auto"/>
        <w:rPr>
          <w:rFonts w:ascii="宋体" w:hAnsi="宋体"/>
          <w:color w:val="auto"/>
          <w:spacing w:val="10"/>
          <w:sz w:val="24"/>
          <w:szCs w:val="24"/>
          <w:highlight w:val="none"/>
        </w:rPr>
      </w:pPr>
      <w:r>
        <w:rPr>
          <w:rFonts w:hint="eastAsia" w:ascii="宋体" w:hAnsi="宋体"/>
          <w:color w:val="auto"/>
          <w:spacing w:val="10"/>
          <w:sz w:val="24"/>
          <w:szCs w:val="24"/>
          <w:highlight w:val="none"/>
        </w:rPr>
        <w:t>（1）现场制安的管支吊架按施工图纸所示尺寸计算工程量，不计取焊接或螺栓连接增加的重量。</w:t>
      </w:r>
    </w:p>
    <w:p w14:paraId="46576028">
      <w:pPr>
        <w:pStyle w:val="47"/>
        <w:keepNext w:val="0"/>
        <w:keepLines w:val="0"/>
        <w:pageBreakBefore w:val="0"/>
        <w:widowControl w:val="0"/>
        <w:kinsoku/>
        <w:wordWrap/>
        <w:overflowPunct/>
        <w:topLinePunct w:val="0"/>
        <w:autoSpaceDE/>
        <w:autoSpaceDN/>
        <w:bidi w:val="0"/>
        <w:adjustRightInd w:val="0"/>
        <w:snapToGrid w:val="0"/>
        <w:spacing w:line="360" w:lineRule="auto"/>
        <w:ind w:firstLine="520" w:firstLineChars="200"/>
        <w:textAlignment w:val="auto"/>
        <w:rPr>
          <w:rFonts w:ascii="宋体" w:hAnsi="宋体"/>
          <w:color w:val="auto"/>
          <w:spacing w:val="10"/>
          <w:sz w:val="24"/>
          <w:szCs w:val="24"/>
          <w:highlight w:val="none"/>
        </w:rPr>
      </w:pPr>
      <w:r>
        <w:rPr>
          <w:rFonts w:hint="eastAsia" w:ascii="宋体" w:hAnsi="宋体"/>
          <w:color w:val="auto"/>
          <w:spacing w:val="10"/>
          <w:sz w:val="24"/>
          <w:szCs w:val="24"/>
          <w:highlight w:val="none"/>
        </w:rPr>
        <w:t>（2）单件重量≥100Kg的管支架执行装置区框架钢结构制作安装全费用综合单价。</w:t>
      </w:r>
    </w:p>
    <w:p w14:paraId="3EAA8574">
      <w:pPr>
        <w:pStyle w:val="47"/>
        <w:keepNext w:val="0"/>
        <w:keepLines w:val="0"/>
        <w:pageBreakBefore w:val="0"/>
        <w:widowControl w:val="0"/>
        <w:kinsoku/>
        <w:wordWrap/>
        <w:overflowPunct/>
        <w:topLinePunct w:val="0"/>
        <w:autoSpaceDE/>
        <w:autoSpaceDN/>
        <w:bidi w:val="0"/>
        <w:adjustRightInd w:val="0"/>
        <w:snapToGrid w:val="0"/>
        <w:spacing w:line="360" w:lineRule="auto"/>
        <w:ind w:firstLine="520" w:firstLineChars="200"/>
        <w:textAlignment w:val="auto"/>
        <w:rPr>
          <w:rFonts w:ascii="宋体" w:hAnsi="宋体"/>
          <w:color w:val="auto"/>
          <w:spacing w:val="10"/>
          <w:sz w:val="24"/>
          <w:szCs w:val="24"/>
          <w:highlight w:val="none"/>
        </w:rPr>
      </w:pPr>
      <w:r>
        <w:rPr>
          <w:rFonts w:hint="eastAsia" w:ascii="宋体" w:hAnsi="宋体"/>
          <w:color w:val="auto"/>
          <w:spacing w:val="10"/>
          <w:sz w:val="24"/>
          <w:szCs w:val="24"/>
          <w:highlight w:val="none"/>
        </w:rPr>
        <w:t>（3）成品支架按厂家提供理论重量或设计图集、标准计算工程量。</w:t>
      </w:r>
    </w:p>
    <w:p w14:paraId="18BE070D">
      <w:pPr>
        <w:keepNext w:val="0"/>
        <w:keepLines w:val="0"/>
        <w:pageBreakBefore w:val="0"/>
        <w:widowControl w:val="0"/>
        <w:kinsoku/>
        <w:wordWrap/>
        <w:overflowPunct/>
        <w:topLinePunct w:val="0"/>
        <w:autoSpaceDE/>
        <w:autoSpaceDN/>
        <w:bidi w:val="0"/>
        <w:snapToGrid w:val="0"/>
        <w:spacing w:line="360" w:lineRule="auto"/>
        <w:ind w:firstLine="520" w:firstLineChars="200"/>
        <w:jc w:val="left"/>
        <w:textAlignment w:val="auto"/>
        <w:rPr>
          <w:rFonts w:hint="eastAsia" w:ascii="宋体" w:hAnsi="宋体"/>
          <w:color w:val="auto"/>
          <w:spacing w:val="10"/>
          <w:sz w:val="24"/>
          <w:highlight w:val="none"/>
        </w:rPr>
      </w:pPr>
      <w:r>
        <w:rPr>
          <w:rFonts w:hint="eastAsia" w:ascii="宋体" w:hAnsi="宋体"/>
          <w:color w:val="auto"/>
          <w:spacing w:val="10"/>
          <w:sz w:val="24"/>
          <w:highlight w:val="none"/>
        </w:rPr>
        <w:t>三、管道安装工程全费用综合单价按施工阶段分配，分别是预制阶段50%、安装阶段30%、试压等20%。</w:t>
      </w:r>
    </w:p>
    <w:p w14:paraId="613B77F8">
      <w:pPr>
        <w:keepNext w:val="0"/>
        <w:keepLines w:val="0"/>
        <w:pageBreakBefore w:val="0"/>
        <w:widowControl w:val="0"/>
        <w:kinsoku/>
        <w:wordWrap/>
        <w:overflowPunct/>
        <w:topLinePunct w:val="0"/>
        <w:autoSpaceDE/>
        <w:autoSpaceDN/>
        <w:bidi w:val="0"/>
        <w:snapToGrid w:val="0"/>
        <w:spacing w:line="360" w:lineRule="auto"/>
        <w:ind w:firstLine="520" w:firstLineChars="200"/>
        <w:jc w:val="left"/>
        <w:textAlignment w:val="auto"/>
        <w:rPr>
          <w:rFonts w:hint="eastAsia" w:ascii="宋体" w:hAnsi="宋体" w:eastAsia="宋体"/>
          <w:color w:val="auto"/>
          <w:spacing w:val="10"/>
          <w:sz w:val="24"/>
          <w:highlight w:val="none"/>
          <w:lang w:val="en-US" w:eastAsia="zh-CN"/>
        </w:rPr>
      </w:pPr>
      <w:r>
        <w:rPr>
          <w:rFonts w:hint="eastAsia" w:ascii="宋体" w:hAnsi="宋体"/>
          <w:color w:val="auto"/>
          <w:spacing w:val="10"/>
          <w:sz w:val="24"/>
          <w:highlight w:val="none"/>
          <w:lang w:val="en-US" w:eastAsia="zh-CN"/>
        </w:rPr>
        <w:t>四、</w:t>
      </w:r>
      <w:r>
        <w:rPr>
          <w:rFonts w:hint="eastAsia" w:ascii="宋体" w:hAnsi="宋体" w:eastAsia="宋体" w:cs="宋体"/>
          <w:sz w:val="24"/>
          <w:highlight w:val="none"/>
        </w:rPr>
        <w:t>本</w:t>
      </w:r>
      <w:r>
        <w:rPr>
          <w:rFonts w:hint="eastAsia" w:ascii="宋体" w:hAnsi="宋体" w:cs="宋体"/>
          <w:sz w:val="24"/>
          <w:highlight w:val="none"/>
          <w:lang w:val="en-US" w:eastAsia="zh-CN"/>
        </w:rPr>
        <w:t>计量计价规则随合同</w:t>
      </w:r>
      <w:r>
        <w:rPr>
          <w:rFonts w:hint="eastAsia" w:ascii="宋体" w:hAnsi="宋体" w:eastAsia="宋体" w:cs="宋体"/>
          <w:sz w:val="24"/>
          <w:highlight w:val="none"/>
        </w:rPr>
        <w:t>一式</w:t>
      </w:r>
      <w:r>
        <w:rPr>
          <w:rFonts w:hint="eastAsia" w:ascii="宋体" w:hAnsi="宋体" w:cs="宋体"/>
          <w:sz w:val="24"/>
          <w:highlight w:val="none"/>
          <w:lang w:val="en-US" w:eastAsia="zh-CN"/>
        </w:rPr>
        <w:t>肆</w:t>
      </w:r>
      <w:r>
        <w:rPr>
          <w:rFonts w:hint="eastAsia" w:ascii="宋体" w:hAnsi="宋体" w:eastAsia="宋体" w:cs="宋体"/>
          <w:sz w:val="24"/>
          <w:highlight w:val="none"/>
        </w:rPr>
        <w:t>份，由</w:t>
      </w:r>
      <w:r>
        <w:rPr>
          <w:rFonts w:hint="eastAsia" w:ascii="宋体" w:hAnsi="宋体" w:cs="宋体"/>
          <w:sz w:val="24"/>
          <w:highlight w:val="none"/>
          <w:lang w:val="en-US" w:eastAsia="zh-CN"/>
        </w:rPr>
        <w:t>甲方执叁</w:t>
      </w:r>
      <w:r>
        <w:rPr>
          <w:rFonts w:hint="eastAsia" w:ascii="宋体" w:hAnsi="宋体" w:eastAsia="宋体" w:cs="宋体"/>
          <w:sz w:val="24"/>
          <w:highlight w:val="none"/>
        </w:rPr>
        <w:t>份，</w:t>
      </w:r>
      <w:r>
        <w:rPr>
          <w:rFonts w:hint="eastAsia" w:ascii="宋体" w:hAnsi="宋体" w:cs="宋体"/>
          <w:sz w:val="24"/>
          <w:highlight w:val="none"/>
          <w:lang w:val="en-US" w:eastAsia="zh-CN"/>
        </w:rPr>
        <w:t>乙方执壹份</w:t>
      </w:r>
      <w:r>
        <w:rPr>
          <w:rFonts w:hint="eastAsia" w:ascii="宋体" w:hAnsi="宋体" w:eastAsia="宋体" w:cs="宋体"/>
          <w:sz w:val="24"/>
          <w:highlight w:val="none"/>
        </w:rPr>
        <w:t>。</w:t>
      </w:r>
    </w:p>
    <w:p w14:paraId="0EF6D711">
      <w:pPr>
        <w:rPr>
          <w:rFonts w:hint="eastAsia" w:asciiTheme="minorEastAsia" w:hAnsiTheme="minorEastAsia" w:eastAsiaTheme="minorEastAsia" w:cstheme="minorEastAsia"/>
          <w:b/>
          <w:bCs/>
          <w:color w:val="000000"/>
          <w:sz w:val="28"/>
          <w:szCs w:val="28"/>
          <w:highlight w:val="none"/>
          <w:lang w:val="en-US" w:eastAsia="zh-CN"/>
        </w:rPr>
      </w:pPr>
      <w:r>
        <w:rPr>
          <w:rFonts w:hint="eastAsia" w:asciiTheme="minorEastAsia" w:hAnsiTheme="minorEastAsia" w:eastAsiaTheme="minorEastAsia" w:cstheme="minorEastAsia"/>
          <w:b/>
          <w:bCs/>
          <w:color w:val="000000"/>
          <w:sz w:val="28"/>
          <w:szCs w:val="28"/>
          <w:highlight w:val="none"/>
          <w:lang w:val="en-US" w:eastAsia="zh-CN"/>
        </w:rPr>
        <w:br w:type="page"/>
      </w:r>
    </w:p>
    <w:p w14:paraId="7C85160C">
      <w:pPr>
        <w:keepNext/>
        <w:keepLines/>
        <w:pageBreakBefore w:val="0"/>
        <w:widowControl w:val="0"/>
        <w:kinsoku/>
        <w:wordWrap/>
        <w:overflowPunct/>
        <w:topLinePunct w:val="0"/>
        <w:autoSpaceDE/>
        <w:autoSpaceDN/>
        <w:bidi w:val="0"/>
        <w:adjustRightInd/>
        <w:snapToGrid/>
        <w:spacing w:before="100" w:after="100" w:line="360" w:lineRule="auto"/>
        <w:textAlignment w:val="auto"/>
        <w:outlineLvl w:val="0"/>
        <w:rPr>
          <w:rFonts w:hint="eastAsia" w:asciiTheme="minorEastAsia" w:hAnsiTheme="minorEastAsia" w:eastAsiaTheme="minorEastAsia" w:cstheme="minorEastAsia"/>
          <w:b/>
          <w:bCs/>
          <w:color w:val="000000"/>
          <w:sz w:val="28"/>
          <w:szCs w:val="28"/>
          <w:highlight w:val="none"/>
          <w:lang w:val="en-US" w:eastAsia="zh-CN"/>
        </w:rPr>
      </w:pPr>
      <w:r>
        <w:rPr>
          <w:rFonts w:hint="eastAsia" w:asciiTheme="minorEastAsia" w:hAnsiTheme="minorEastAsia" w:eastAsiaTheme="minorEastAsia" w:cstheme="minorEastAsia"/>
          <w:b/>
          <w:bCs/>
          <w:color w:val="000000"/>
          <w:sz w:val="28"/>
          <w:szCs w:val="28"/>
          <w:highlight w:val="none"/>
          <w:lang w:val="en-US" w:eastAsia="zh-CN"/>
        </w:rPr>
        <w:t>六、施工图纸及技术要求（如有另册提供）</w:t>
      </w:r>
    </w:p>
    <w:p w14:paraId="78A70B95">
      <w:pPr>
        <w:keepNext/>
        <w:keepLines/>
        <w:pageBreakBefore w:val="0"/>
        <w:widowControl w:val="0"/>
        <w:kinsoku/>
        <w:wordWrap/>
        <w:overflowPunct/>
        <w:topLinePunct w:val="0"/>
        <w:autoSpaceDE/>
        <w:autoSpaceDN/>
        <w:bidi w:val="0"/>
        <w:adjustRightInd/>
        <w:snapToGrid/>
        <w:spacing w:line="416" w:lineRule="auto"/>
        <w:textAlignment w:val="auto"/>
        <w:outlineLvl w:val="9"/>
        <w:rPr>
          <w:rFonts w:hint="eastAsia"/>
        </w:rPr>
      </w:pPr>
    </w:p>
    <w:p w14:paraId="677A15C4">
      <w:pPr>
        <w:keepNext/>
        <w:keepLines/>
        <w:pageBreakBefore w:val="0"/>
        <w:widowControl w:val="0"/>
        <w:kinsoku/>
        <w:wordWrap/>
        <w:overflowPunct/>
        <w:topLinePunct w:val="0"/>
        <w:autoSpaceDE/>
        <w:autoSpaceDN/>
        <w:bidi w:val="0"/>
        <w:adjustRightInd/>
        <w:snapToGrid/>
        <w:spacing w:line="416" w:lineRule="auto"/>
        <w:textAlignment w:val="auto"/>
        <w:outlineLvl w:val="9"/>
        <w:rPr>
          <w:rFonts w:hint="eastAsia"/>
        </w:rPr>
      </w:pPr>
    </w:p>
    <w:p w14:paraId="563F9CF4">
      <w:pPr>
        <w:keepNext/>
        <w:keepLines/>
        <w:pageBreakBefore w:val="0"/>
        <w:widowControl w:val="0"/>
        <w:kinsoku/>
        <w:wordWrap/>
        <w:overflowPunct/>
        <w:topLinePunct w:val="0"/>
        <w:autoSpaceDE/>
        <w:autoSpaceDN/>
        <w:bidi w:val="0"/>
        <w:adjustRightInd/>
        <w:snapToGrid/>
        <w:spacing w:line="416" w:lineRule="auto"/>
        <w:textAlignment w:val="auto"/>
        <w:outlineLvl w:val="9"/>
        <w:rPr>
          <w:rFonts w:hint="eastAsia"/>
        </w:rPr>
      </w:pPr>
    </w:p>
    <w:sectPr>
      <w:pgSz w:w="11907" w:h="16840"/>
      <w:pgMar w:top="1417" w:right="1418" w:bottom="1417" w:left="1418" w:header="850" w:footer="850" w:gutter="0"/>
      <w:pgBorders>
        <w:top w:val="none" w:sz="0" w:space="0"/>
        <w:left w:val="none" w:sz="0" w:space="0"/>
        <w:bottom w:val="none" w:sz="0" w:space="0"/>
        <w:right w:val="none" w:sz="0" w:space="0"/>
      </w:pgBorders>
      <w:pgNumType w:fmt="decimal" w:start="1"/>
      <w:cols w:space="0" w:num="1"/>
      <w:rtlGutter w:val="0"/>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131F9">
    <w:pPr>
      <w:pStyle w:val="12"/>
      <w:rPr>
        <w:rFonts w:hint="eastAsia" w:ascii="宋体" w:hAnsi="宋体" w:eastAsia="宋体" w:cs="宋体"/>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C46BF7"/>
    <w:multiLevelType w:val="singleLevel"/>
    <w:tmpl w:val="0EC46BF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XTahL9c7O3K2KdU6Wjm/+GmbXBg=" w:salt="fZjPl/PeMWEN+HtyBPffew=="/>
  <w:defaultTabStop w:val="0"/>
  <w:hyphenationZone w:val="360"/>
  <w:drawingGridHorizontalSpacing w:val="95"/>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mODU5NjdkZjg4NTBlZWI0MGRlMDIyZjZkODg3OGIifQ=="/>
  </w:docVars>
  <w:rsids>
    <w:rsidRoot w:val="00172A27"/>
    <w:rsid w:val="000002E5"/>
    <w:rsid w:val="0003689A"/>
    <w:rsid w:val="000506FA"/>
    <w:rsid w:val="000575F7"/>
    <w:rsid w:val="0006213B"/>
    <w:rsid w:val="0007220D"/>
    <w:rsid w:val="00073939"/>
    <w:rsid w:val="0007503F"/>
    <w:rsid w:val="000753CE"/>
    <w:rsid w:val="00076791"/>
    <w:rsid w:val="00077CC8"/>
    <w:rsid w:val="0009024E"/>
    <w:rsid w:val="00092509"/>
    <w:rsid w:val="000977CA"/>
    <w:rsid w:val="00097950"/>
    <w:rsid w:val="000B14DC"/>
    <w:rsid w:val="000B3ADA"/>
    <w:rsid w:val="000B4D90"/>
    <w:rsid w:val="000B5242"/>
    <w:rsid w:val="000B7C72"/>
    <w:rsid w:val="000C0770"/>
    <w:rsid w:val="000C2BED"/>
    <w:rsid w:val="000C365F"/>
    <w:rsid w:val="000C5014"/>
    <w:rsid w:val="000F20B0"/>
    <w:rsid w:val="000F3DEE"/>
    <w:rsid w:val="00106244"/>
    <w:rsid w:val="0011526D"/>
    <w:rsid w:val="00120C58"/>
    <w:rsid w:val="00125001"/>
    <w:rsid w:val="001333AE"/>
    <w:rsid w:val="00135CD4"/>
    <w:rsid w:val="0013632B"/>
    <w:rsid w:val="00145EA5"/>
    <w:rsid w:val="001463C1"/>
    <w:rsid w:val="00147A89"/>
    <w:rsid w:val="0015100B"/>
    <w:rsid w:val="00162900"/>
    <w:rsid w:val="0016367C"/>
    <w:rsid w:val="00164F61"/>
    <w:rsid w:val="00165C61"/>
    <w:rsid w:val="00170B74"/>
    <w:rsid w:val="00174F7F"/>
    <w:rsid w:val="0018369F"/>
    <w:rsid w:val="0019226C"/>
    <w:rsid w:val="00197DB5"/>
    <w:rsid w:val="001A1667"/>
    <w:rsid w:val="001A32DA"/>
    <w:rsid w:val="001B2008"/>
    <w:rsid w:val="001B31FF"/>
    <w:rsid w:val="001C048E"/>
    <w:rsid w:val="001C0E79"/>
    <w:rsid w:val="001C137C"/>
    <w:rsid w:val="001C2155"/>
    <w:rsid w:val="001C365E"/>
    <w:rsid w:val="001C7080"/>
    <w:rsid w:val="001D4206"/>
    <w:rsid w:val="001D4239"/>
    <w:rsid w:val="001D6D2F"/>
    <w:rsid w:val="001E08C7"/>
    <w:rsid w:val="001F0F21"/>
    <w:rsid w:val="001F277E"/>
    <w:rsid w:val="001F6890"/>
    <w:rsid w:val="00200606"/>
    <w:rsid w:val="00200BCE"/>
    <w:rsid w:val="00202C45"/>
    <w:rsid w:val="00203033"/>
    <w:rsid w:val="00205B8D"/>
    <w:rsid w:val="00206010"/>
    <w:rsid w:val="00213074"/>
    <w:rsid w:val="00214912"/>
    <w:rsid w:val="0023243A"/>
    <w:rsid w:val="00234157"/>
    <w:rsid w:val="002503B2"/>
    <w:rsid w:val="00252CC8"/>
    <w:rsid w:val="00257160"/>
    <w:rsid w:val="00271BAE"/>
    <w:rsid w:val="0027212E"/>
    <w:rsid w:val="002772E4"/>
    <w:rsid w:val="002840CD"/>
    <w:rsid w:val="00285141"/>
    <w:rsid w:val="00291DA5"/>
    <w:rsid w:val="00292824"/>
    <w:rsid w:val="00293CF8"/>
    <w:rsid w:val="00294959"/>
    <w:rsid w:val="00297E67"/>
    <w:rsid w:val="002A098D"/>
    <w:rsid w:val="002A3DFB"/>
    <w:rsid w:val="002A406F"/>
    <w:rsid w:val="002B01A1"/>
    <w:rsid w:val="002B16D2"/>
    <w:rsid w:val="002B31FF"/>
    <w:rsid w:val="002B4F7A"/>
    <w:rsid w:val="002C2299"/>
    <w:rsid w:val="002C50A8"/>
    <w:rsid w:val="002D5A78"/>
    <w:rsid w:val="002E0BB4"/>
    <w:rsid w:val="002E3108"/>
    <w:rsid w:val="002F0545"/>
    <w:rsid w:val="002F0569"/>
    <w:rsid w:val="002F1BE2"/>
    <w:rsid w:val="002F1D69"/>
    <w:rsid w:val="002F2AE6"/>
    <w:rsid w:val="002F370E"/>
    <w:rsid w:val="00302FB3"/>
    <w:rsid w:val="00303673"/>
    <w:rsid w:val="00306543"/>
    <w:rsid w:val="003067B6"/>
    <w:rsid w:val="00307A95"/>
    <w:rsid w:val="00311441"/>
    <w:rsid w:val="003152EC"/>
    <w:rsid w:val="003266CA"/>
    <w:rsid w:val="00331AE6"/>
    <w:rsid w:val="00334BF7"/>
    <w:rsid w:val="0033695E"/>
    <w:rsid w:val="00337FEE"/>
    <w:rsid w:val="00343EAD"/>
    <w:rsid w:val="00344151"/>
    <w:rsid w:val="003553BC"/>
    <w:rsid w:val="00357F3D"/>
    <w:rsid w:val="0037009A"/>
    <w:rsid w:val="003713C4"/>
    <w:rsid w:val="00374C16"/>
    <w:rsid w:val="003835BF"/>
    <w:rsid w:val="00392EAF"/>
    <w:rsid w:val="00392F01"/>
    <w:rsid w:val="003970C0"/>
    <w:rsid w:val="00397492"/>
    <w:rsid w:val="003A219A"/>
    <w:rsid w:val="003A2D4E"/>
    <w:rsid w:val="003A6788"/>
    <w:rsid w:val="003A69BA"/>
    <w:rsid w:val="003B1B3D"/>
    <w:rsid w:val="003B3244"/>
    <w:rsid w:val="003C0F15"/>
    <w:rsid w:val="003C1618"/>
    <w:rsid w:val="003D20B8"/>
    <w:rsid w:val="003D420D"/>
    <w:rsid w:val="003D5985"/>
    <w:rsid w:val="003D5FA1"/>
    <w:rsid w:val="003E3938"/>
    <w:rsid w:val="003E68AC"/>
    <w:rsid w:val="003E6E8C"/>
    <w:rsid w:val="003F5753"/>
    <w:rsid w:val="004008FB"/>
    <w:rsid w:val="00403C53"/>
    <w:rsid w:val="00405556"/>
    <w:rsid w:val="004146AA"/>
    <w:rsid w:val="00415EB2"/>
    <w:rsid w:val="004176B6"/>
    <w:rsid w:val="00423C2F"/>
    <w:rsid w:val="00425EBD"/>
    <w:rsid w:val="00426A2D"/>
    <w:rsid w:val="00426EDC"/>
    <w:rsid w:val="00433AA9"/>
    <w:rsid w:val="00433F1F"/>
    <w:rsid w:val="0044080E"/>
    <w:rsid w:val="00441793"/>
    <w:rsid w:val="00442596"/>
    <w:rsid w:val="00443188"/>
    <w:rsid w:val="0046040F"/>
    <w:rsid w:val="004605D7"/>
    <w:rsid w:val="00462A83"/>
    <w:rsid w:val="00463ECD"/>
    <w:rsid w:val="0047119B"/>
    <w:rsid w:val="00472549"/>
    <w:rsid w:val="00481283"/>
    <w:rsid w:val="004825EC"/>
    <w:rsid w:val="004834A3"/>
    <w:rsid w:val="00485647"/>
    <w:rsid w:val="00487160"/>
    <w:rsid w:val="00496A5B"/>
    <w:rsid w:val="00496D03"/>
    <w:rsid w:val="004A152F"/>
    <w:rsid w:val="004A219E"/>
    <w:rsid w:val="004A3547"/>
    <w:rsid w:val="004A4ADC"/>
    <w:rsid w:val="004B5368"/>
    <w:rsid w:val="004B643E"/>
    <w:rsid w:val="004C2418"/>
    <w:rsid w:val="004C3BBE"/>
    <w:rsid w:val="004D62C7"/>
    <w:rsid w:val="004F1ECA"/>
    <w:rsid w:val="004F224C"/>
    <w:rsid w:val="005001C4"/>
    <w:rsid w:val="00505891"/>
    <w:rsid w:val="00506137"/>
    <w:rsid w:val="005061B9"/>
    <w:rsid w:val="00511070"/>
    <w:rsid w:val="00512C65"/>
    <w:rsid w:val="005152E4"/>
    <w:rsid w:val="00520428"/>
    <w:rsid w:val="005206F9"/>
    <w:rsid w:val="0053087B"/>
    <w:rsid w:val="0053114E"/>
    <w:rsid w:val="00532D52"/>
    <w:rsid w:val="00535DC3"/>
    <w:rsid w:val="00547A62"/>
    <w:rsid w:val="00563805"/>
    <w:rsid w:val="00563E45"/>
    <w:rsid w:val="00570207"/>
    <w:rsid w:val="00572465"/>
    <w:rsid w:val="00576FBF"/>
    <w:rsid w:val="005805E1"/>
    <w:rsid w:val="00582506"/>
    <w:rsid w:val="00583979"/>
    <w:rsid w:val="00583F76"/>
    <w:rsid w:val="00584A09"/>
    <w:rsid w:val="0059139E"/>
    <w:rsid w:val="00595EC2"/>
    <w:rsid w:val="00597D67"/>
    <w:rsid w:val="00597E23"/>
    <w:rsid w:val="005A0856"/>
    <w:rsid w:val="005A3CFF"/>
    <w:rsid w:val="005B0674"/>
    <w:rsid w:val="005B6DF7"/>
    <w:rsid w:val="005C088A"/>
    <w:rsid w:val="005D0634"/>
    <w:rsid w:val="005D14B1"/>
    <w:rsid w:val="005E2B98"/>
    <w:rsid w:val="005E31C1"/>
    <w:rsid w:val="005E6F9C"/>
    <w:rsid w:val="005E7B14"/>
    <w:rsid w:val="005F3AD3"/>
    <w:rsid w:val="005F4890"/>
    <w:rsid w:val="005F66C0"/>
    <w:rsid w:val="006002F9"/>
    <w:rsid w:val="00601657"/>
    <w:rsid w:val="00602002"/>
    <w:rsid w:val="006140A1"/>
    <w:rsid w:val="006162F8"/>
    <w:rsid w:val="00623D04"/>
    <w:rsid w:val="006253D6"/>
    <w:rsid w:val="006313A9"/>
    <w:rsid w:val="006321BA"/>
    <w:rsid w:val="00655A01"/>
    <w:rsid w:val="00664490"/>
    <w:rsid w:val="00666B57"/>
    <w:rsid w:val="00671CE7"/>
    <w:rsid w:val="00675481"/>
    <w:rsid w:val="0067582C"/>
    <w:rsid w:val="006856B5"/>
    <w:rsid w:val="006942EF"/>
    <w:rsid w:val="00694515"/>
    <w:rsid w:val="006946B3"/>
    <w:rsid w:val="006956F5"/>
    <w:rsid w:val="0069744B"/>
    <w:rsid w:val="006A4652"/>
    <w:rsid w:val="006A5609"/>
    <w:rsid w:val="006B2CCA"/>
    <w:rsid w:val="006B3FE6"/>
    <w:rsid w:val="006C181C"/>
    <w:rsid w:val="006C4453"/>
    <w:rsid w:val="006C6F3D"/>
    <w:rsid w:val="006D06A1"/>
    <w:rsid w:val="006D0AF9"/>
    <w:rsid w:val="006D6F46"/>
    <w:rsid w:val="006E0C24"/>
    <w:rsid w:val="006E13A5"/>
    <w:rsid w:val="006E39E1"/>
    <w:rsid w:val="006E3C7B"/>
    <w:rsid w:val="006E3CD5"/>
    <w:rsid w:val="006E4E69"/>
    <w:rsid w:val="006F2CF6"/>
    <w:rsid w:val="006F4EB8"/>
    <w:rsid w:val="00702633"/>
    <w:rsid w:val="00706D6A"/>
    <w:rsid w:val="00713239"/>
    <w:rsid w:val="00713D7E"/>
    <w:rsid w:val="00720EDA"/>
    <w:rsid w:val="00740F58"/>
    <w:rsid w:val="00746810"/>
    <w:rsid w:val="007521E7"/>
    <w:rsid w:val="00756712"/>
    <w:rsid w:val="00765800"/>
    <w:rsid w:val="0076763B"/>
    <w:rsid w:val="00772C2B"/>
    <w:rsid w:val="007778A6"/>
    <w:rsid w:val="00781DC3"/>
    <w:rsid w:val="00784664"/>
    <w:rsid w:val="00787141"/>
    <w:rsid w:val="00793F54"/>
    <w:rsid w:val="007B6AA6"/>
    <w:rsid w:val="007C27E1"/>
    <w:rsid w:val="007C3FC9"/>
    <w:rsid w:val="007C5CDC"/>
    <w:rsid w:val="007C66F8"/>
    <w:rsid w:val="007C67F9"/>
    <w:rsid w:val="007D31A6"/>
    <w:rsid w:val="007D540F"/>
    <w:rsid w:val="007D6083"/>
    <w:rsid w:val="007D6C3C"/>
    <w:rsid w:val="007E24C5"/>
    <w:rsid w:val="007E43C2"/>
    <w:rsid w:val="007F370B"/>
    <w:rsid w:val="00827F13"/>
    <w:rsid w:val="00844AC0"/>
    <w:rsid w:val="008477DF"/>
    <w:rsid w:val="00854792"/>
    <w:rsid w:val="0085507B"/>
    <w:rsid w:val="00860B76"/>
    <w:rsid w:val="00861A76"/>
    <w:rsid w:val="00862D5E"/>
    <w:rsid w:val="00862D70"/>
    <w:rsid w:val="008632CB"/>
    <w:rsid w:val="00866361"/>
    <w:rsid w:val="00870B7E"/>
    <w:rsid w:val="00873397"/>
    <w:rsid w:val="00875275"/>
    <w:rsid w:val="00875D2A"/>
    <w:rsid w:val="0087634F"/>
    <w:rsid w:val="008764E9"/>
    <w:rsid w:val="00891EA0"/>
    <w:rsid w:val="008A4A5B"/>
    <w:rsid w:val="008A520D"/>
    <w:rsid w:val="008A5578"/>
    <w:rsid w:val="008B034B"/>
    <w:rsid w:val="008B0C1D"/>
    <w:rsid w:val="008B4AA3"/>
    <w:rsid w:val="008B5DA6"/>
    <w:rsid w:val="008C16C1"/>
    <w:rsid w:val="008C2331"/>
    <w:rsid w:val="008C494A"/>
    <w:rsid w:val="008C49E6"/>
    <w:rsid w:val="008C4BAF"/>
    <w:rsid w:val="008C7E4D"/>
    <w:rsid w:val="008D14A0"/>
    <w:rsid w:val="008D6F52"/>
    <w:rsid w:val="008E3F62"/>
    <w:rsid w:val="008E5E89"/>
    <w:rsid w:val="008E761A"/>
    <w:rsid w:val="00902AA5"/>
    <w:rsid w:val="009049D8"/>
    <w:rsid w:val="00911876"/>
    <w:rsid w:val="00911ED2"/>
    <w:rsid w:val="00912623"/>
    <w:rsid w:val="00917C2B"/>
    <w:rsid w:val="00922CED"/>
    <w:rsid w:val="009314D8"/>
    <w:rsid w:val="00933D9D"/>
    <w:rsid w:val="00937096"/>
    <w:rsid w:val="009452EC"/>
    <w:rsid w:val="00957285"/>
    <w:rsid w:val="00960AE5"/>
    <w:rsid w:val="00963236"/>
    <w:rsid w:val="00963CA8"/>
    <w:rsid w:val="009659E7"/>
    <w:rsid w:val="0096661E"/>
    <w:rsid w:val="0097180E"/>
    <w:rsid w:val="009718AD"/>
    <w:rsid w:val="00975812"/>
    <w:rsid w:val="0097689E"/>
    <w:rsid w:val="00977175"/>
    <w:rsid w:val="0098271D"/>
    <w:rsid w:val="00986C18"/>
    <w:rsid w:val="009946BC"/>
    <w:rsid w:val="00997535"/>
    <w:rsid w:val="009A0937"/>
    <w:rsid w:val="009A3FB0"/>
    <w:rsid w:val="009C14E6"/>
    <w:rsid w:val="009C377D"/>
    <w:rsid w:val="009D0721"/>
    <w:rsid w:val="009D09E0"/>
    <w:rsid w:val="009E0D5A"/>
    <w:rsid w:val="009E15FF"/>
    <w:rsid w:val="009E4BE5"/>
    <w:rsid w:val="009E70F5"/>
    <w:rsid w:val="009F227A"/>
    <w:rsid w:val="00A04845"/>
    <w:rsid w:val="00A050B3"/>
    <w:rsid w:val="00A071DE"/>
    <w:rsid w:val="00A178DF"/>
    <w:rsid w:val="00A32572"/>
    <w:rsid w:val="00A45306"/>
    <w:rsid w:val="00A47888"/>
    <w:rsid w:val="00A56474"/>
    <w:rsid w:val="00A57DC2"/>
    <w:rsid w:val="00A607BC"/>
    <w:rsid w:val="00A709D6"/>
    <w:rsid w:val="00A74587"/>
    <w:rsid w:val="00A77E93"/>
    <w:rsid w:val="00A80A5C"/>
    <w:rsid w:val="00A81CE5"/>
    <w:rsid w:val="00A87617"/>
    <w:rsid w:val="00A970F0"/>
    <w:rsid w:val="00AB1123"/>
    <w:rsid w:val="00AB53D8"/>
    <w:rsid w:val="00AB5419"/>
    <w:rsid w:val="00AC520C"/>
    <w:rsid w:val="00AC608B"/>
    <w:rsid w:val="00AC7877"/>
    <w:rsid w:val="00AD3B47"/>
    <w:rsid w:val="00AD5686"/>
    <w:rsid w:val="00AD6E75"/>
    <w:rsid w:val="00AE7BE7"/>
    <w:rsid w:val="00AF4613"/>
    <w:rsid w:val="00AF5AD8"/>
    <w:rsid w:val="00AF6D56"/>
    <w:rsid w:val="00B0214C"/>
    <w:rsid w:val="00B023F5"/>
    <w:rsid w:val="00B03650"/>
    <w:rsid w:val="00B03E0C"/>
    <w:rsid w:val="00B06CAC"/>
    <w:rsid w:val="00B1076F"/>
    <w:rsid w:val="00B129EC"/>
    <w:rsid w:val="00B13ED0"/>
    <w:rsid w:val="00B14C51"/>
    <w:rsid w:val="00B17A9D"/>
    <w:rsid w:val="00B27AD2"/>
    <w:rsid w:val="00B32F57"/>
    <w:rsid w:val="00B336B0"/>
    <w:rsid w:val="00B40B5B"/>
    <w:rsid w:val="00B5087D"/>
    <w:rsid w:val="00B62360"/>
    <w:rsid w:val="00B64A8D"/>
    <w:rsid w:val="00B65641"/>
    <w:rsid w:val="00B702BA"/>
    <w:rsid w:val="00B8454E"/>
    <w:rsid w:val="00B860AD"/>
    <w:rsid w:val="00B86F82"/>
    <w:rsid w:val="00B875AA"/>
    <w:rsid w:val="00B90902"/>
    <w:rsid w:val="00B93CEF"/>
    <w:rsid w:val="00BA001D"/>
    <w:rsid w:val="00BB16FA"/>
    <w:rsid w:val="00BB2DDA"/>
    <w:rsid w:val="00BB4DFA"/>
    <w:rsid w:val="00BB6F3E"/>
    <w:rsid w:val="00BD1930"/>
    <w:rsid w:val="00BD7F4C"/>
    <w:rsid w:val="00BE7577"/>
    <w:rsid w:val="00BF1123"/>
    <w:rsid w:val="00C01049"/>
    <w:rsid w:val="00C02078"/>
    <w:rsid w:val="00C02F8A"/>
    <w:rsid w:val="00C144DA"/>
    <w:rsid w:val="00C15FEC"/>
    <w:rsid w:val="00C221A7"/>
    <w:rsid w:val="00C35840"/>
    <w:rsid w:val="00C36A1A"/>
    <w:rsid w:val="00C527E1"/>
    <w:rsid w:val="00C6151C"/>
    <w:rsid w:val="00C6422F"/>
    <w:rsid w:val="00C65666"/>
    <w:rsid w:val="00C72E0C"/>
    <w:rsid w:val="00C738D2"/>
    <w:rsid w:val="00C836FF"/>
    <w:rsid w:val="00C837BA"/>
    <w:rsid w:val="00C83A00"/>
    <w:rsid w:val="00C85E9C"/>
    <w:rsid w:val="00C8741F"/>
    <w:rsid w:val="00C97A88"/>
    <w:rsid w:val="00CA64D5"/>
    <w:rsid w:val="00CB35C6"/>
    <w:rsid w:val="00CB4664"/>
    <w:rsid w:val="00CB49C8"/>
    <w:rsid w:val="00CB4B39"/>
    <w:rsid w:val="00CB7B58"/>
    <w:rsid w:val="00CC1B9D"/>
    <w:rsid w:val="00CC7098"/>
    <w:rsid w:val="00CD005E"/>
    <w:rsid w:val="00CD0784"/>
    <w:rsid w:val="00CD1262"/>
    <w:rsid w:val="00CD3471"/>
    <w:rsid w:val="00CD6A05"/>
    <w:rsid w:val="00CD72B7"/>
    <w:rsid w:val="00CD7676"/>
    <w:rsid w:val="00CE4796"/>
    <w:rsid w:val="00CF133A"/>
    <w:rsid w:val="00CF24D4"/>
    <w:rsid w:val="00CF4F36"/>
    <w:rsid w:val="00CF622C"/>
    <w:rsid w:val="00D008E8"/>
    <w:rsid w:val="00D00A99"/>
    <w:rsid w:val="00D1016D"/>
    <w:rsid w:val="00D156AC"/>
    <w:rsid w:val="00D26ECE"/>
    <w:rsid w:val="00D27701"/>
    <w:rsid w:val="00D41913"/>
    <w:rsid w:val="00D467A4"/>
    <w:rsid w:val="00D51AB1"/>
    <w:rsid w:val="00D52587"/>
    <w:rsid w:val="00D5688F"/>
    <w:rsid w:val="00D67773"/>
    <w:rsid w:val="00D76321"/>
    <w:rsid w:val="00D77D49"/>
    <w:rsid w:val="00D82C82"/>
    <w:rsid w:val="00D91796"/>
    <w:rsid w:val="00D94D5C"/>
    <w:rsid w:val="00D9747A"/>
    <w:rsid w:val="00DA262E"/>
    <w:rsid w:val="00DA6328"/>
    <w:rsid w:val="00DA642B"/>
    <w:rsid w:val="00DB20F7"/>
    <w:rsid w:val="00DB31FC"/>
    <w:rsid w:val="00DC02C3"/>
    <w:rsid w:val="00DC16B4"/>
    <w:rsid w:val="00DC2623"/>
    <w:rsid w:val="00DC49EC"/>
    <w:rsid w:val="00DD3196"/>
    <w:rsid w:val="00DD5331"/>
    <w:rsid w:val="00DD64FD"/>
    <w:rsid w:val="00DD6AA5"/>
    <w:rsid w:val="00DD7906"/>
    <w:rsid w:val="00DE56A1"/>
    <w:rsid w:val="00DE5A91"/>
    <w:rsid w:val="00DF0715"/>
    <w:rsid w:val="00DF146B"/>
    <w:rsid w:val="00DF480C"/>
    <w:rsid w:val="00E01E0B"/>
    <w:rsid w:val="00E109A3"/>
    <w:rsid w:val="00E14553"/>
    <w:rsid w:val="00E1667F"/>
    <w:rsid w:val="00E23127"/>
    <w:rsid w:val="00E27B0A"/>
    <w:rsid w:val="00E3087C"/>
    <w:rsid w:val="00E32DFF"/>
    <w:rsid w:val="00E377C5"/>
    <w:rsid w:val="00E412BB"/>
    <w:rsid w:val="00E45CF9"/>
    <w:rsid w:val="00E46C7E"/>
    <w:rsid w:val="00E53C2A"/>
    <w:rsid w:val="00E54DD8"/>
    <w:rsid w:val="00E55B96"/>
    <w:rsid w:val="00E62E7A"/>
    <w:rsid w:val="00E63DC8"/>
    <w:rsid w:val="00E64BC7"/>
    <w:rsid w:val="00E7294F"/>
    <w:rsid w:val="00E73EB3"/>
    <w:rsid w:val="00E85E84"/>
    <w:rsid w:val="00E90A55"/>
    <w:rsid w:val="00EB146D"/>
    <w:rsid w:val="00EB4990"/>
    <w:rsid w:val="00EB5AE7"/>
    <w:rsid w:val="00EB7FAE"/>
    <w:rsid w:val="00EC2181"/>
    <w:rsid w:val="00EC71DE"/>
    <w:rsid w:val="00ED64EB"/>
    <w:rsid w:val="00EE1B4B"/>
    <w:rsid w:val="00EE299C"/>
    <w:rsid w:val="00EE6D4C"/>
    <w:rsid w:val="00EF0ABD"/>
    <w:rsid w:val="00EF0ACA"/>
    <w:rsid w:val="00EF1C88"/>
    <w:rsid w:val="00EF7D82"/>
    <w:rsid w:val="00F01B5C"/>
    <w:rsid w:val="00F05F22"/>
    <w:rsid w:val="00F1077A"/>
    <w:rsid w:val="00F1178D"/>
    <w:rsid w:val="00F134D5"/>
    <w:rsid w:val="00F14658"/>
    <w:rsid w:val="00F3126C"/>
    <w:rsid w:val="00F47ADD"/>
    <w:rsid w:val="00F52D1D"/>
    <w:rsid w:val="00F54BEA"/>
    <w:rsid w:val="00F57725"/>
    <w:rsid w:val="00F61086"/>
    <w:rsid w:val="00F72872"/>
    <w:rsid w:val="00F73BC3"/>
    <w:rsid w:val="00F80CA4"/>
    <w:rsid w:val="00F8103B"/>
    <w:rsid w:val="00F8201A"/>
    <w:rsid w:val="00F8291C"/>
    <w:rsid w:val="00F8542A"/>
    <w:rsid w:val="00F861CF"/>
    <w:rsid w:val="00F965F7"/>
    <w:rsid w:val="00F9716D"/>
    <w:rsid w:val="00F97F99"/>
    <w:rsid w:val="00FA12BF"/>
    <w:rsid w:val="00FA1EA7"/>
    <w:rsid w:val="00FA4902"/>
    <w:rsid w:val="00FA639C"/>
    <w:rsid w:val="00FB1665"/>
    <w:rsid w:val="00FC02BF"/>
    <w:rsid w:val="00FC2540"/>
    <w:rsid w:val="00FC6A9C"/>
    <w:rsid w:val="00FD22DC"/>
    <w:rsid w:val="00FD23BF"/>
    <w:rsid w:val="00FD4A19"/>
    <w:rsid w:val="00FE5248"/>
    <w:rsid w:val="00FF076C"/>
    <w:rsid w:val="0117445B"/>
    <w:rsid w:val="01207B0A"/>
    <w:rsid w:val="01293C05"/>
    <w:rsid w:val="014063FE"/>
    <w:rsid w:val="01423632"/>
    <w:rsid w:val="01447A73"/>
    <w:rsid w:val="014F6641"/>
    <w:rsid w:val="016814B1"/>
    <w:rsid w:val="016A5229"/>
    <w:rsid w:val="016E2F6B"/>
    <w:rsid w:val="01712D82"/>
    <w:rsid w:val="017D4F5C"/>
    <w:rsid w:val="01875DDB"/>
    <w:rsid w:val="01995B0E"/>
    <w:rsid w:val="019F58B7"/>
    <w:rsid w:val="01A050EF"/>
    <w:rsid w:val="01A801B3"/>
    <w:rsid w:val="01B6046E"/>
    <w:rsid w:val="01C20BC1"/>
    <w:rsid w:val="01D5597A"/>
    <w:rsid w:val="01F1594A"/>
    <w:rsid w:val="02000E9C"/>
    <w:rsid w:val="020654E4"/>
    <w:rsid w:val="020F65B7"/>
    <w:rsid w:val="02105DD0"/>
    <w:rsid w:val="02184C85"/>
    <w:rsid w:val="021C69C5"/>
    <w:rsid w:val="021D673F"/>
    <w:rsid w:val="022E6257"/>
    <w:rsid w:val="02337D11"/>
    <w:rsid w:val="023A2E4D"/>
    <w:rsid w:val="024540E0"/>
    <w:rsid w:val="02581525"/>
    <w:rsid w:val="02587777"/>
    <w:rsid w:val="025B2CB1"/>
    <w:rsid w:val="025D6B3C"/>
    <w:rsid w:val="02685C0C"/>
    <w:rsid w:val="0284231A"/>
    <w:rsid w:val="028440C8"/>
    <w:rsid w:val="029702A0"/>
    <w:rsid w:val="029A1B3E"/>
    <w:rsid w:val="029C7664"/>
    <w:rsid w:val="029F53A6"/>
    <w:rsid w:val="02A209F3"/>
    <w:rsid w:val="02A429BD"/>
    <w:rsid w:val="02A6540B"/>
    <w:rsid w:val="02AE53FB"/>
    <w:rsid w:val="02AE555A"/>
    <w:rsid w:val="02B11879"/>
    <w:rsid w:val="02B32C00"/>
    <w:rsid w:val="02C2251F"/>
    <w:rsid w:val="02D45050"/>
    <w:rsid w:val="02DA6AC8"/>
    <w:rsid w:val="02DF39F5"/>
    <w:rsid w:val="02E32A26"/>
    <w:rsid w:val="02E80AFB"/>
    <w:rsid w:val="03084CFA"/>
    <w:rsid w:val="030D2310"/>
    <w:rsid w:val="03100052"/>
    <w:rsid w:val="03181948"/>
    <w:rsid w:val="0328539C"/>
    <w:rsid w:val="032E7049"/>
    <w:rsid w:val="03351867"/>
    <w:rsid w:val="03470948"/>
    <w:rsid w:val="0349110B"/>
    <w:rsid w:val="034D6BB0"/>
    <w:rsid w:val="035C5045"/>
    <w:rsid w:val="03601943"/>
    <w:rsid w:val="0362043F"/>
    <w:rsid w:val="03795BF7"/>
    <w:rsid w:val="03906A9D"/>
    <w:rsid w:val="0397607D"/>
    <w:rsid w:val="039B237D"/>
    <w:rsid w:val="03B01E63"/>
    <w:rsid w:val="03BB6210"/>
    <w:rsid w:val="03C03826"/>
    <w:rsid w:val="03C230FA"/>
    <w:rsid w:val="03CC48BF"/>
    <w:rsid w:val="03CE7CF1"/>
    <w:rsid w:val="03D42E2E"/>
    <w:rsid w:val="03DF2ED1"/>
    <w:rsid w:val="03E219EE"/>
    <w:rsid w:val="03EC0177"/>
    <w:rsid w:val="04115E30"/>
    <w:rsid w:val="04213C80"/>
    <w:rsid w:val="04333258"/>
    <w:rsid w:val="043C42A1"/>
    <w:rsid w:val="04441D61"/>
    <w:rsid w:val="04463D2B"/>
    <w:rsid w:val="044C50BA"/>
    <w:rsid w:val="04526B27"/>
    <w:rsid w:val="0462437B"/>
    <w:rsid w:val="046E5030"/>
    <w:rsid w:val="04705D62"/>
    <w:rsid w:val="047168CE"/>
    <w:rsid w:val="047A39D5"/>
    <w:rsid w:val="047D5273"/>
    <w:rsid w:val="0482288A"/>
    <w:rsid w:val="04826D2E"/>
    <w:rsid w:val="04854128"/>
    <w:rsid w:val="049C1B9D"/>
    <w:rsid w:val="04AE367F"/>
    <w:rsid w:val="04B35139"/>
    <w:rsid w:val="04B769D7"/>
    <w:rsid w:val="04BD1D44"/>
    <w:rsid w:val="04CB7801"/>
    <w:rsid w:val="04D8694E"/>
    <w:rsid w:val="04E4425F"/>
    <w:rsid w:val="04E452F2"/>
    <w:rsid w:val="04F217BD"/>
    <w:rsid w:val="04F86F86"/>
    <w:rsid w:val="04FF212C"/>
    <w:rsid w:val="051060E7"/>
    <w:rsid w:val="05157BA2"/>
    <w:rsid w:val="05174F51"/>
    <w:rsid w:val="051E6A56"/>
    <w:rsid w:val="052102F4"/>
    <w:rsid w:val="05235E1B"/>
    <w:rsid w:val="05243941"/>
    <w:rsid w:val="052B2F21"/>
    <w:rsid w:val="053E2C54"/>
    <w:rsid w:val="05425230"/>
    <w:rsid w:val="0543026B"/>
    <w:rsid w:val="054A784B"/>
    <w:rsid w:val="055036EB"/>
    <w:rsid w:val="056703FD"/>
    <w:rsid w:val="056F1060"/>
    <w:rsid w:val="05746676"/>
    <w:rsid w:val="057743B8"/>
    <w:rsid w:val="057C552B"/>
    <w:rsid w:val="05822DD6"/>
    <w:rsid w:val="05834B0B"/>
    <w:rsid w:val="05850883"/>
    <w:rsid w:val="059F47CA"/>
    <w:rsid w:val="05B22F4A"/>
    <w:rsid w:val="05BB26B2"/>
    <w:rsid w:val="05C869C2"/>
    <w:rsid w:val="05CF5FA2"/>
    <w:rsid w:val="05E337FC"/>
    <w:rsid w:val="05F71525"/>
    <w:rsid w:val="05FD48BE"/>
    <w:rsid w:val="06035C4C"/>
    <w:rsid w:val="06040976"/>
    <w:rsid w:val="0614521D"/>
    <w:rsid w:val="06255BC2"/>
    <w:rsid w:val="06255E28"/>
    <w:rsid w:val="06287ED2"/>
    <w:rsid w:val="063F2EBC"/>
    <w:rsid w:val="064E5119"/>
    <w:rsid w:val="066C559F"/>
    <w:rsid w:val="066E57BB"/>
    <w:rsid w:val="068D17CA"/>
    <w:rsid w:val="06955A9B"/>
    <w:rsid w:val="06967316"/>
    <w:rsid w:val="069B51C0"/>
    <w:rsid w:val="069E50DE"/>
    <w:rsid w:val="06A44D39"/>
    <w:rsid w:val="06AC1E40"/>
    <w:rsid w:val="06AE3E0A"/>
    <w:rsid w:val="06B106C0"/>
    <w:rsid w:val="06B97731"/>
    <w:rsid w:val="06C54CB0"/>
    <w:rsid w:val="06C947A0"/>
    <w:rsid w:val="06CA3863"/>
    <w:rsid w:val="06DB7EDB"/>
    <w:rsid w:val="06DD024B"/>
    <w:rsid w:val="06E635A4"/>
    <w:rsid w:val="06EE0437"/>
    <w:rsid w:val="06FC6923"/>
    <w:rsid w:val="07100621"/>
    <w:rsid w:val="072347D7"/>
    <w:rsid w:val="07241C87"/>
    <w:rsid w:val="072A7934"/>
    <w:rsid w:val="0744651C"/>
    <w:rsid w:val="0748600C"/>
    <w:rsid w:val="07495C18"/>
    <w:rsid w:val="0753050D"/>
    <w:rsid w:val="075612B2"/>
    <w:rsid w:val="0757624F"/>
    <w:rsid w:val="075B5D40"/>
    <w:rsid w:val="0764271A"/>
    <w:rsid w:val="07701D96"/>
    <w:rsid w:val="0774295E"/>
    <w:rsid w:val="0777126E"/>
    <w:rsid w:val="077A2BCD"/>
    <w:rsid w:val="077E558A"/>
    <w:rsid w:val="078E1545"/>
    <w:rsid w:val="07941EA7"/>
    <w:rsid w:val="079528D4"/>
    <w:rsid w:val="07966D78"/>
    <w:rsid w:val="07977B51"/>
    <w:rsid w:val="079C5DDB"/>
    <w:rsid w:val="07A61A70"/>
    <w:rsid w:val="07AD2313"/>
    <w:rsid w:val="07BF5DE3"/>
    <w:rsid w:val="07CA4C73"/>
    <w:rsid w:val="07CD3E58"/>
    <w:rsid w:val="07CF4038"/>
    <w:rsid w:val="07F85502"/>
    <w:rsid w:val="07FC3CF5"/>
    <w:rsid w:val="080A5070"/>
    <w:rsid w:val="081128A2"/>
    <w:rsid w:val="08183341"/>
    <w:rsid w:val="081D1247"/>
    <w:rsid w:val="0837398B"/>
    <w:rsid w:val="084F1A56"/>
    <w:rsid w:val="08640C24"/>
    <w:rsid w:val="08676E02"/>
    <w:rsid w:val="086A3D60"/>
    <w:rsid w:val="0874698D"/>
    <w:rsid w:val="08756F63"/>
    <w:rsid w:val="08805332"/>
    <w:rsid w:val="088C1F29"/>
    <w:rsid w:val="089C542D"/>
    <w:rsid w:val="089D7C92"/>
    <w:rsid w:val="08A060F3"/>
    <w:rsid w:val="08A2174C"/>
    <w:rsid w:val="08BF5E5A"/>
    <w:rsid w:val="08C24B98"/>
    <w:rsid w:val="08C44A90"/>
    <w:rsid w:val="08CA7394"/>
    <w:rsid w:val="08CB0CA3"/>
    <w:rsid w:val="08CF045B"/>
    <w:rsid w:val="08D86F1C"/>
    <w:rsid w:val="08DD2784"/>
    <w:rsid w:val="08EB30F3"/>
    <w:rsid w:val="08ED62FB"/>
    <w:rsid w:val="08F169C1"/>
    <w:rsid w:val="08F326DF"/>
    <w:rsid w:val="08F8136C"/>
    <w:rsid w:val="09156F29"/>
    <w:rsid w:val="0926412B"/>
    <w:rsid w:val="092C7268"/>
    <w:rsid w:val="09497E1A"/>
    <w:rsid w:val="094C6CA1"/>
    <w:rsid w:val="09523172"/>
    <w:rsid w:val="0953613B"/>
    <w:rsid w:val="095962AF"/>
    <w:rsid w:val="097924AD"/>
    <w:rsid w:val="09806034"/>
    <w:rsid w:val="09815806"/>
    <w:rsid w:val="0983157E"/>
    <w:rsid w:val="09976DD7"/>
    <w:rsid w:val="09A700F4"/>
    <w:rsid w:val="09A92667"/>
    <w:rsid w:val="09B41737"/>
    <w:rsid w:val="09B54461"/>
    <w:rsid w:val="09C6146A"/>
    <w:rsid w:val="09D0246F"/>
    <w:rsid w:val="09F2225F"/>
    <w:rsid w:val="09F2400E"/>
    <w:rsid w:val="09F45FD8"/>
    <w:rsid w:val="0A0106F5"/>
    <w:rsid w:val="0A044CED"/>
    <w:rsid w:val="0A157CFC"/>
    <w:rsid w:val="0A1E4E03"/>
    <w:rsid w:val="0A206DCD"/>
    <w:rsid w:val="0A216ED9"/>
    <w:rsid w:val="0A27433A"/>
    <w:rsid w:val="0A2E4A14"/>
    <w:rsid w:val="0A312D88"/>
    <w:rsid w:val="0A4C5FFA"/>
    <w:rsid w:val="0A517CAA"/>
    <w:rsid w:val="0A690774"/>
    <w:rsid w:val="0A791B72"/>
    <w:rsid w:val="0A7B04A7"/>
    <w:rsid w:val="0A842E95"/>
    <w:rsid w:val="0A854E82"/>
    <w:rsid w:val="0A9D041D"/>
    <w:rsid w:val="0AAB0D8C"/>
    <w:rsid w:val="0AB17A25"/>
    <w:rsid w:val="0ABD461B"/>
    <w:rsid w:val="0ABF1974"/>
    <w:rsid w:val="0AC37758"/>
    <w:rsid w:val="0AC7737E"/>
    <w:rsid w:val="0AC8263F"/>
    <w:rsid w:val="0ADB2CF4"/>
    <w:rsid w:val="0AEF054D"/>
    <w:rsid w:val="0AF0197B"/>
    <w:rsid w:val="0AF049F1"/>
    <w:rsid w:val="0B0B182B"/>
    <w:rsid w:val="0B100BEF"/>
    <w:rsid w:val="0B233E98"/>
    <w:rsid w:val="0B2823DD"/>
    <w:rsid w:val="0B293402"/>
    <w:rsid w:val="0B2B3C7B"/>
    <w:rsid w:val="0B2B5A29"/>
    <w:rsid w:val="0B2F146B"/>
    <w:rsid w:val="0B310B66"/>
    <w:rsid w:val="0B505490"/>
    <w:rsid w:val="0B534F80"/>
    <w:rsid w:val="0B552AA6"/>
    <w:rsid w:val="0B5807E8"/>
    <w:rsid w:val="0B64718D"/>
    <w:rsid w:val="0B670337"/>
    <w:rsid w:val="0B6A0ABF"/>
    <w:rsid w:val="0B753148"/>
    <w:rsid w:val="0B776EC0"/>
    <w:rsid w:val="0B7A69B0"/>
    <w:rsid w:val="0B884C29"/>
    <w:rsid w:val="0B89058A"/>
    <w:rsid w:val="0B9176F8"/>
    <w:rsid w:val="0B923CFA"/>
    <w:rsid w:val="0BAB4DBC"/>
    <w:rsid w:val="0BC67500"/>
    <w:rsid w:val="0BC814CA"/>
    <w:rsid w:val="0BC96FF0"/>
    <w:rsid w:val="0BD31C1D"/>
    <w:rsid w:val="0BDC4F75"/>
    <w:rsid w:val="0BED35B4"/>
    <w:rsid w:val="0BF12D54"/>
    <w:rsid w:val="0C063DA0"/>
    <w:rsid w:val="0C0C0C04"/>
    <w:rsid w:val="0C1F4E62"/>
    <w:rsid w:val="0C2165A2"/>
    <w:rsid w:val="0C272694"/>
    <w:rsid w:val="0C720239"/>
    <w:rsid w:val="0C874EE1"/>
    <w:rsid w:val="0C8971A3"/>
    <w:rsid w:val="0C8A2C23"/>
    <w:rsid w:val="0C9475FE"/>
    <w:rsid w:val="0C9B6BDE"/>
    <w:rsid w:val="0CB83782"/>
    <w:rsid w:val="0CB952B6"/>
    <w:rsid w:val="0CBA4EED"/>
    <w:rsid w:val="0CBC5489"/>
    <w:rsid w:val="0CBE467B"/>
    <w:rsid w:val="0CC56A07"/>
    <w:rsid w:val="0CC7352F"/>
    <w:rsid w:val="0CC9374C"/>
    <w:rsid w:val="0CDF4D1D"/>
    <w:rsid w:val="0CE258B1"/>
    <w:rsid w:val="0CE438B4"/>
    <w:rsid w:val="0CE44695"/>
    <w:rsid w:val="0CE57E5A"/>
    <w:rsid w:val="0CED5152"/>
    <w:rsid w:val="0CF102A5"/>
    <w:rsid w:val="0CFC11DB"/>
    <w:rsid w:val="0D0776FE"/>
    <w:rsid w:val="0D186481"/>
    <w:rsid w:val="0D275AE3"/>
    <w:rsid w:val="0D2941EA"/>
    <w:rsid w:val="0D2A3ABE"/>
    <w:rsid w:val="0D336E17"/>
    <w:rsid w:val="0D417786"/>
    <w:rsid w:val="0D5079C9"/>
    <w:rsid w:val="0D6214AA"/>
    <w:rsid w:val="0D6276FC"/>
    <w:rsid w:val="0D660F9A"/>
    <w:rsid w:val="0D735465"/>
    <w:rsid w:val="0D782A7C"/>
    <w:rsid w:val="0D7A13FF"/>
    <w:rsid w:val="0D7A67F4"/>
    <w:rsid w:val="0D8D2969"/>
    <w:rsid w:val="0DA63A8D"/>
    <w:rsid w:val="0DB52A0B"/>
    <w:rsid w:val="0DB717F6"/>
    <w:rsid w:val="0DD24882"/>
    <w:rsid w:val="0DED346A"/>
    <w:rsid w:val="0E09388E"/>
    <w:rsid w:val="0E097B78"/>
    <w:rsid w:val="0E0F33E0"/>
    <w:rsid w:val="0E124C7E"/>
    <w:rsid w:val="0E1E7AC7"/>
    <w:rsid w:val="0E22254B"/>
    <w:rsid w:val="0E2E2351"/>
    <w:rsid w:val="0E4312DC"/>
    <w:rsid w:val="0E450FD8"/>
    <w:rsid w:val="0E455054"/>
    <w:rsid w:val="0E47210D"/>
    <w:rsid w:val="0E4C621D"/>
    <w:rsid w:val="0E5139F9"/>
    <w:rsid w:val="0E574695"/>
    <w:rsid w:val="0E653000"/>
    <w:rsid w:val="0E6C4642"/>
    <w:rsid w:val="0E72571D"/>
    <w:rsid w:val="0E780094"/>
    <w:rsid w:val="0E796AAB"/>
    <w:rsid w:val="0E8536A2"/>
    <w:rsid w:val="0E8A515C"/>
    <w:rsid w:val="0E8D5C3C"/>
    <w:rsid w:val="0E981627"/>
    <w:rsid w:val="0EA0672E"/>
    <w:rsid w:val="0EB251CD"/>
    <w:rsid w:val="0EC56195"/>
    <w:rsid w:val="0ECA5559"/>
    <w:rsid w:val="0ECC12D1"/>
    <w:rsid w:val="0ECE329B"/>
    <w:rsid w:val="0ED14B39"/>
    <w:rsid w:val="0ED168E7"/>
    <w:rsid w:val="0EE4486D"/>
    <w:rsid w:val="0EFD553B"/>
    <w:rsid w:val="0F0C1EE6"/>
    <w:rsid w:val="0F0E7B3C"/>
    <w:rsid w:val="0F144A26"/>
    <w:rsid w:val="0F20565C"/>
    <w:rsid w:val="0F25670C"/>
    <w:rsid w:val="0F2C1D70"/>
    <w:rsid w:val="0F3C1993"/>
    <w:rsid w:val="0F8E47D8"/>
    <w:rsid w:val="0F94357C"/>
    <w:rsid w:val="0F9455C2"/>
    <w:rsid w:val="0F9C5147"/>
    <w:rsid w:val="0F9D4A1B"/>
    <w:rsid w:val="0FAB7138"/>
    <w:rsid w:val="0FAC2EB1"/>
    <w:rsid w:val="0FAD5046"/>
    <w:rsid w:val="0FB73D2F"/>
    <w:rsid w:val="0FBF40A0"/>
    <w:rsid w:val="0FC17CE3"/>
    <w:rsid w:val="0FC41FA8"/>
    <w:rsid w:val="0FD837B2"/>
    <w:rsid w:val="0FDC19E8"/>
    <w:rsid w:val="0FDE00A1"/>
    <w:rsid w:val="0FE91A0F"/>
    <w:rsid w:val="0FEB5787"/>
    <w:rsid w:val="0FF24D67"/>
    <w:rsid w:val="0FF80A8B"/>
    <w:rsid w:val="10066495"/>
    <w:rsid w:val="10120F66"/>
    <w:rsid w:val="101271B8"/>
    <w:rsid w:val="10222AF8"/>
    <w:rsid w:val="10280789"/>
    <w:rsid w:val="102B0279"/>
    <w:rsid w:val="102D16D9"/>
    <w:rsid w:val="102E1B18"/>
    <w:rsid w:val="10305890"/>
    <w:rsid w:val="103B4960"/>
    <w:rsid w:val="1041003A"/>
    <w:rsid w:val="10466E61"/>
    <w:rsid w:val="10524FCD"/>
    <w:rsid w:val="105253A5"/>
    <w:rsid w:val="105A3BF9"/>
    <w:rsid w:val="107E7938"/>
    <w:rsid w:val="108160EB"/>
    <w:rsid w:val="10862F4B"/>
    <w:rsid w:val="10881228"/>
    <w:rsid w:val="108F25B6"/>
    <w:rsid w:val="109951E3"/>
    <w:rsid w:val="10AA2392"/>
    <w:rsid w:val="10AB4F16"/>
    <w:rsid w:val="10B63FE7"/>
    <w:rsid w:val="10BB15FD"/>
    <w:rsid w:val="10BB784F"/>
    <w:rsid w:val="10C55FD8"/>
    <w:rsid w:val="10D02918"/>
    <w:rsid w:val="10D34B99"/>
    <w:rsid w:val="10DC4A71"/>
    <w:rsid w:val="10E36DA6"/>
    <w:rsid w:val="10F354AA"/>
    <w:rsid w:val="10F62635"/>
    <w:rsid w:val="110C32D9"/>
    <w:rsid w:val="110E3E23"/>
    <w:rsid w:val="11124BFD"/>
    <w:rsid w:val="11252F1A"/>
    <w:rsid w:val="11254CC9"/>
    <w:rsid w:val="11380EA0"/>
    <w:rsid w:val="114333A1"/>
    <w:rsid w:val="114A32C1"/>
    <w:rsid w:val="11535CDA"/>
    <w:rsid w:val="11561326"/>
    <w:rsid w:val="11606A5E"/>
    <w:rsid w:val="117479FE"/>
    <w:rsid w:val="117F262B"/>
    <w:rsid w:val="118D7330"/>
    <w:rsid w:val="118F3A1C"/>
    <w:rsid w:val="11953187"/>
    <w:rsid w:val="11A227BD"/>
    <w:rsid w:val="11A26319"/>
    <w:rsid w:val="11A77DD3"/>
    <w:rsid w:val="11BA3309"/>
    <w:rsid w:val="11CB1D14"/>
    <w:rsid w:val="11CE55DE"/>
    <w:rsid w:val="11DA1F57"/>
    <w:rsid w:val="11E01CA4"/>
    <w:rsid w:val="11EC63A9"/>
    <w:rsid w:val="11FB65D5"/>
    <w:rsid w:val="1211524D"/>
    <w:rsid w:val="12174F59"/>
    <w:rsid w:val="12372F05"/>
    <w:rsid w:val="12413D84"/>
    <w:rsid w:val="12450AA7"/>
    <w:rsid w:val="12483364"/>
    <w:rsid w:val="12492C39"/>
    <w:rsid w:val="124F64A1"/>
    <w:rsid w:val="12555A81"/>
    <w:rsid w:val="126974CC"/>
    <w:rsid w:val="126A18A4"/>
    <w:rsid w:val="12706417"/>
    <w:rsid w:val="127759F8"/>
    <w:rsid w:val="127E0301"/>
    <w:rsid w:val="127E0B34"/>
    <w:rsid w:val="12902616"/>
    <w:rsid w:val="1295415B"/>
    <w:rsid w:val="12A22D09"/>
    <w:rsid w:val="12AF5192"/>
    <w:rsid w:val="12BC165D"/>
    <w:rsid w:val="12C007A1"/>
    <w:rsid w:val="12D22C2E"/>
    <w:rsid w:val="12E017EF"/>
    <w:rsid w:val="12E82452"/>
    <w:rsid w:val="12F26461"/>
    <w:rsid w:val="12F42BA4"/>
    <w:rsid w:val="12FC00C4"/>
    <w:rsid w:val="130003A3"/>
    <w:rsid w:val="130D590C"/>
    <w:rsid w:val="13257202"/>
    <w:rsid w:val="13257826"/>
    <w:rsid w:val="1330447D"/>
    <w:rsid w:val="13313D44"/>
    <w:rsid w:val="136A2E67"/>
    <w:rsid w:val="1371777C"/>
    <w:rsid w:val="13737F6D"/>
    <w:rsid w:val="137A2124"/>
    <w:rsid w:val="137B1518"/>
    <w:rsid w:val="137D2B9A"/>
    <w:rsid w:val="13A04ADA"/>
    <w:rsid w:val="13A30D83"/>
    <w:rsid w:val="13AF44BA"/>
    <w:rsid w:val="13B567D8"/>
    <w:rsid w:val="13BA3DEE"/>
    <w:rsid w:val="13BB1914"/>
    <w:rsid w:val="13BD743A"/>
    <w:rsid w:val="13CE1647"/>
    <w:rsid w:val="13D6674E"/>
    <w:rsid w:val="13E250F3"/>
    <w:rsid w:val="13E42C19"/>
    <w:rsid w:val="13E93BC1"/>
    <w:rsid w:val="13EF601F"/>
    <w:rsid w:val="13F05A62"/>
    <w:rsid w:val="13F866C4"/>
    <w:rsid w:val="13FB7F63"/>
    <w:rsid w:val="13FF53F6"/>
    <w:rsid w:val="141A034E"/>
    <w:rsid w:val="141A7453"/>
    <w:rsid w:val="141F1EA3"/>
    <w:rsid w:val="14263199"/>
    <w:rsid w:val="14292D22"/>
    <w:rsid w:val="142A04B0"/>
    <w:rsid w:val="142E20E6"/>
    <w:rsid w:val="14300EAC"/>
    <w:rsid w:val="14302302"/>
    <w:rsid w:val="143463BC"/>
    <w:rsid w:val="143D057B"/>
    <w:rsid w:val="144E2788"/>
    <w:rsid w:val="146124BC"/>
    <w:rsid w:val="14675840"/>
    <w:rsid w:val="148A272A"/>
    <w:rsid w:val="149363ED"/>
    <w:rsid w:val="149503B7"/>
    <w:rsid w:val="149E726C"/>
    <w:rsid w:val="14A44728"/>
    <w:rsid w:val="14B01127"/>
    <w:rsid w:val="14B20F69"/>
    <w:rsid w:val="14BE790E"/>
    <w:rsid w:val="14C03F2A"/>
    <w:rsid w:val="14D26F15"/>
    <w:rsid w:val="14E14D06"/>
    <w:rsid w:val="14E53FF8"/>
    <w:rsid w:val="14ED1FA1"/>
    <w:rsid w:val="15001CD4"/>
    <w:rsid w:val="15142B5C"/>
    <w:rsid w:val="151439D2"/>
    <w:rsid w:val="15155054"/>
    <w:rsid w:val="15204125"/>
    <w:rsid w:val="15336827"/>
    <w:rsid w:val="15353F92"/>
    <w:rsid w:val="15396F94"/>
    <w:rsid w:val="153D58E5"/>
    <w:rsid w:val="1542409B"/>
    <w:rsid w:val="154479A2"/>
    <w:rsid w:val="154E0A15"/>
    <w:rsid w:val="15673B02"/>
    <w:rsid w:val="157B75AD"/>
    <w:rsid w:val="159C1804"/>
    <w:rsid w:val="15A30DC6"/>
    <w:rsid w:val="15A46742"/>
    <w:rsid w:val="15B4486D"/>
    <w:rsid w:val="15C01464"/>
    <w:rsid w:val="15CC605B"/>
    <w:rsid w:val="15D867AD"/>
    <w:rsid w:val="15E72E94"/>
    <w:rsid w:val="160475A2"/>
    <w:rsid w:val="16185891"/>
    <w:rsid w:val="161B669A"/>
    <w:rsid w:val="1629525B"/>
    <w:rsid w:val="162E0AC3"/>
    <w:rsid w:val="16414353"/>
    <w:rsid w:val="165E3157"/>
    <w:rsid w:val="1666200B"/>
    <w:rsid w:val="16691AFB"/>
    <w:rsid w:val="1672245B"/>
    <w:rsid w:val="16753FFC"/>
    <w:rsid w:val="167F30CD"/>
    <w:rsid w:val="16842FF2"/>
    <w:rsid w:val="16924D25"/>
    <w:rsid w:val="16985F3D"/>
    <w:rsid w:val="169A3A63"/>
    <w:rsid w:val="169B37FD"/>
    <w:rsid w:val="169E4116"/>
    <w:rsid w:val="16A11295"/>
    <w:rsid w:val="16A86180"/>
    <w:rsid w:val="16AE183F"/>
    <w:rsid w:val="16B67CD2"/>
    <w:rsid w:val="16B9038D"/>
    <w:rsid w:val="16DA6555"/>
    <w:rsid w:val="16E660E8"/>
    <w:rsid w:val="17024B78"/>
    <w:rsid w:val="17032EB3"/>
    <w:rsid w:val="17033CFE"/>
    <w:rsid w:val="170535D2"/>
    <w:rsid w:val="170830C2"/>
    <w:rsid w:val="17147CB9"/>
    <w:rsid w:val="17285513"/>
    <w:rsid w:val="172D0D7B"/>
    <w:rsid w:val="173043C7"/>
    <w:rsid w:val="1735378C"/>
    <w:rsid w:val="17410382"/>
    <w:rsid w:val="1758293B"/>
    <w:rsid w:val="17614581"/>
    <w:rsid w:val="1763479D"/>
    <w:rsid w:val="17683B61"/>
    <w:rsid w:val="17690439"/>
    <w:rsid w:val="176D5C4E"/>
    <w:rsid w:val="176F3141"/>
    <w:rsid w:val="17795D6E"/>
    <w:rsid w:val="17944956"/>
    <w:rsid w:val="17B35C58"/>
    <w:rsid w:val="17C60605"/>
    <w:rsid w:val="17CA3814"/>
    <w:rsid w:val="17DB67AF"/>
    <w:rsid w:val="17E07B9B"/>
    <w:rsid w:val="17E31C44"/>
    <w:rsid w:val="17E72CD8"/>
    <w:rsid w:val="17E94CA2"/>
    <w:rsid w:val="17F11DA8"/>
    <w:rsid w:val="17F821C9"/>
    <w:rsid w:val="17FD51E2"/>
    <w:rsid w:val="18195995"/>
    <w:rsid w:val="183103F7"/>
    <w:rsid w:val="18351C95"/>
    <w:rsid w:val="183D3240"/>
    <w:rsid w:val="184F22A9"/>
    <w:rsid w:val="185A794E"/>
    <w:rsid w:val="185F6D12"/>
    <w:rsid w:val="186D58D3"/>
    <w:rsid w:val="18713C0D"/>
    <w:rsid w:val="1881312C"/>
    <w:rsid w:val="1890336F"/>
    <w:rsid w:val="189C1D14"/>
    <w:rsid w:val="18A230A3"/>
    <w:rsid w:val="18B51C19"/>
    <w:rsid w:val="18BF10A6"/>
    <w:rsid w:val="18D47700"/>
    <w:rsid w:val="18D81E43"/>
    <w:rsid w:val="18E35B95"/>
    <w:rsid w:val="18F002B2"/>
    <w:rsid w:val="18FF64A4"/>
    <w:rsid w:val="191D05E3"/>
    <w:rsid w:val="192B48EC"/>
    <w:rsid w:val="192D5062"/>
    <w:rsid w:val="193463F1"/>
    <w:rsid w:val="19421CF8"/>
    <w:rsid w:val="19433422"/>
    <w:rsid w:val="19460C23"/>
    <w:rsid w:val="19466124"/>
    <w:rsid w:val="19483C4A"/>
    <w:rsid w:val="194D300E"/>
    <w:rsid w:val="194E5294"/>
    <w:rsid w:val="194F4FD8"/>
    <w:rsid w:val="195720DF"/>
    <w:rsid w:val="19612025"/>
    <w:rsid w:val="19617EA5"/>
    <w:rsid w:val="196F567B"/>
    <w:rsid w:val="19722A75"/>
    <w:rsid w:val="19792A8D"/>
    <w:rsid w:val="19861EDA"/>
    <w:rsid w:val="19866520"/>
    <w:rsid w:val="198E5EAA"/>
    <w:rsid w:val="19906C5A"/>
    <w:rsid w:val="199155F1"/>
    <w:rsid w:val="199B52F9"/>
    <w:rsid w:val="19A357D9"/>
    <w:rsid w:val="19AA220F"/>
    <w:rsid w:val="19AC242B"/>
    <w:rsid w:val="19B60BB4"/>
    <w:rsid w:val="19C15D47"/>
    <w:rsid w:val="19C239FC"/>
    <w:rsid w:val="19C5529B"/>
    <w:rsid w:val="19C71013"/>
    <w:rsid w:val="19D64143"/>
    <w:rsid w:val="19D83220"/>
    <w:rsid w:val="19E219A9"/>
    <w:rsid w:val="19E41BC5"/>
    <w:rsid w:val="19EA6AAF"/>
    <w:rsid w:val="19ED0DE8"/>
    <w:rsid w:val="19ED659F"/>
    <w:rsid w:val="19EE2A43"/>
    <w:rsid w:val="19F4792E"/>
    <w:rsid w:val="19F53DD2"/>
    <w:rsid w:val="1A120229"/>
    <w:rsid w:val="1A18361C"/>
    <w:rsid w:val="1A187AC0"/>
    <w:rsid w:val="1A1D728B"/>
    <w:rsid w:val="1A295829"/>
    <w:rsid w:val="1A32785E"/>
    <w:rsid w:val="1A3C34C2"/>
    <w:rsid w:val="1A4305C2"/>
    <w:rsid w:val="1A55661F"/>
    <w:rsid w:val="1A6E5932"/>
    <w:rsid w:val="1A824F3A"/>
    <w:rsid w:val="1A8B2040"/>
    <w:rsid w:val="1A9D1D74"/>
    <w:rsid w:val="1AAB623F"/>
    <w:rsid w:val="1AB31597"/>
    <w:rsid w:val="1ABC669E"/>
    <w:rsid w:val="1ABD7EA0"/>
    <w:rsid w:val="1ABF1101"/>
    <w:rsid w:val="1AD5775F"/>
    <w:rsid w:val="1AD744FA"/>
    <w:rsid w:val="1ADC0AEE"/>
    <w:rsid w:val="1AE41750"/>
    <w:rsid w:val="1B117962"/>
    <w:rsid w:val="1B2110EE"/>
    <w:rsid w:val="1B28788F"/>
    <w:rsid w:val="1B2B6049"/>
    <w:rsid w:val="1B4F12C0"/>
    <w:rsid w:val="1B530684"/>
    <w:rsid w:val="1B754A9E"/>
    <w:rsid w:val="1B8307F5"/>
    <w:rsid w:val="1B832459"/>
    <w:rsid w:val="1B83540D"/>
    <w:rsid w:val="1B882A24"/>
    <w:rsid w:val="1B9118D8"/>
    <w:rsid w:val="1B9A62B3"/>
    <w:rsid w:val="1B9C202B"/>
    <w:rsid w:val="1BA10E42"/>
    <w:rsid w:val="1BA55CBF"/>
    <w:rsid w:val="1BA809D0"/>
    <w:rsid w:val="1BB71ADC"/>
    <w:rsid w:val="1BBC26CD"/>
    <w:rsid w:val="1BBC447B"/>
    <w:rsid w:val="1BC51582"/>
    <w:rsid w:val="1BCE23CF"/>
    <w:rsid w:val="1BD6553D"/>
    <w:rsid w:val="1BE063BC"/>
    <w:rsid w:val="1C0025BA"/>
    <w:rsid w:val="1C0C5403"/>
    <w:rsid w:val="1C224C26"/>
    <w:rsid w:val="1C330BE1"/>
    <w:rsid w:val="1C336C2A"/>
    <w:rsid w:val="1C56042C"/>
    <w:rsid w:val="1C5A43C0"/>
    <w:rsid w:val="1C6A6992"/>
    <w:rsid w:val="1C6B037B"/>
    <w:rsid w:val="1C715266"/>
    <w:rsid w:val="1C7D6C93"/>
    <w:rsid w:val="1C8925AF"/>
    <w:rsid w:val="1C9D24FF"/>
    <w:rsid w:val="1CA23671"/>
    <w:rsid w:val="1CC25AC1"/>
    <w:rsid w:val="1CC63804"/>
    <w:rsid w:val="1CC730D8"/>
    <w:rsid w:val="1CCE26B8"/>
    <w:rsid w:val="1CD00BDB"/>
    <w:rsid w:val="1CD13D2A"/>
    <w:rsid w:val="1CE13FEE"/>
    <w:rsid w:val="1CF00880"/>
    <w:rsid w:val="1CF814E3"/>
    <w:rsid w:val="1CFF40A9"/>
    <w:rsid w:val="1D061E52"/>
    <w:rsid w:val="1D1E3640"/>
    <w:rsid w:val="1D216C8C"/>
    <w:rsid w:val="1D2B18B9"/>
    <w:rsid w:val="1D2C3199"/>
    <w:rsid w:val="1D350989"/>
    <w:rsid w:val="1D3764AF"/>
    <w:rsid w:val="1D3F646E"/>
    <w:rsid w:val="1D436EDC"/>
    <w:rsid w:val="1D4C1494"/>
    <w:rsid w:val="1D4F1A4B"/>
    <w:rsid w:val="1D5033C1"/>
    <w:rsid w:val="1D5A219E"/>
    <w:rsid w:val="1D61177E"/>
    <w:rsid w:val="1D6B6E89"/>
    <w:rsid w:val="1D6F14F6"/>
    <w:rsid w:val="1D72312F"/>
    <w:rsid w:val="1D7F39B2"/>
    <w:rsid w:val="1D835251"/>
    <w:rsid w:val="1D8611E5"/>
    <w:rsid w:val="1D8E4E63"/>
    <w:rsid w:val="1D903E12"/>
    <w:rsid w:val="1D9A4FDF"/>
    <w:rsid w:val="1D9E652E"/>
    <w:rsid w:val="1DAA4ED3"/>
    <w:rsid w:val="1DC07CF2"/>
    <w:rsid w:val="1DC835AB"/>
    <w:rsid w:val="1DCB6BF8"/>
    <w:rsid w:val="1DCD0BC2"/>
    <w:rsid w:val="1DD40180"/>
    <w:rsid w:val="1DD737EE"/>
    <w:rsid w:val="1DE57CB9"/>
    <w:rsid w:val="1DEC28B5"/>
    <w:rsid w:val="1E0C0B57"/>
    <w:rsid w:val="1E124468"/>
    <w:rsid w:val="1E135665"/>
    <w:rsid w:val="1E2E46BF"/>
    <w:rsid w:val="1E334EC9"/>
    <w:rsid w:val="1E34479D"/>
    <w:rsid w:val="1E465846"/>
    <w:rsid w:val="1E4F15D7"/>
    <w:rsid w:val="1E643CE7"/>
    <w:rsid w:val="1E6C3F37"/>
    <w:rsid w:val="1E786D7F"/>
    <w:rsid w:val="1E94348E"/>
    <w:rsid w:val="1E9634CA"/>
    <w:rsid w:val="1E965458"/>
    <w:rsid w:val="1E9B0CC0"/>
    <w:rsid w:val="1E9D0594"/>
    <w:rsid w:val="1EA23DFC"/>
    <w:rsid w:val="1EA90CE7"/>
    <w:rsid w:val="1EAC4C7B"/>
    <w:rsid w:val="1EBB27F5"/>
    <w:rsid w:val="1EC867F8"/>
    <w:rsid w:val="1ECB5F6A"/>
    <w:rsid w:val="1ECC546F"/>
    <w:rsid w:val="1ECE4BF1"/>
    <w:rsid w:val="1ED55F80"/>
    <w:rsid w:val="1EDD3086"/>
    <w:rsid w:val="1EF87EC0"/>
    <w:rsid w:val="1EFC71C2"/>
    <w:rsid w:val="1EFD7285"/>
    <w:rsid w:val="1F093E7B"/>
    <w:rsid w:val="1F0B7BF4"/>
    <w:rsid w:val="1F1F369F"/>
    <w:rsid w:val="1F204D21"/>
    <w:rsid w:val="1F244811"/>
    <w:rsid w:val="1F254F67"/>
    <w:rsid w:val="1F264A2D"/>
    <w:rsid w:val="1F2E404A"/>
    <w:rsid w:val="1F334A54"/>
    <w:rsid w:val="1F3C1B5B"/>
    <w:rsid w:val="1F443106"/>
    <w:rsid w:val="1F446C62"/>
    <w:rsid w:val="1F464788"/>
    <w:rsid w:val="1F494278"/>
    <w:rsid w:val="1F4A4CA5"/>
    <w:rsid w:val="1F4B1294"/>
    <w:rsid w:val="1F4E188E"/>
    <w:rsid w:val="1F533349"/>
    <w:rsid w:val="1F5570C1"/>
    <w:rsid w:val="1F5F3A9B"/>
    <w:rsid w:val="1F7F4A50"/>
    <w:rsid w:val="1F811C64"/>
    <w:rsid w:val="1F8654CC"/>
    <w:rsid w:val="1F962CF2"/>
    <w:rsid w:val="1F973235"/>
    <w:rsid w:val="1FA12306"/>
    <w:rsid w:val="1FAA740D"/>
    <w:rsid w:val="1FB1447B"/>
    <w:rsid w:val="1FB931AC"/>
    <w:rsid w:val="1FBA1D7F"/>
    <w:rsid w:val="1FC35DD8"/>
    <w:rsid w:val="1FDC333E"/>
    <w:rsid w:val="1FE65F6B"/>
    <w:rsid w:val="200D1749"/>
    <w:rsid w:val="20125029"/>
    <w:rsid w:val="201B1867"/>
    <w:rsid w:val="201D3832"/>
    <w:rsid w:val="202B7A06"/>
    <w:rsid w:val="202E37B6"/>
    <w:rsid w:val="2043516B"/>
    <w:rsid w:val="206A2812"/>
    <w:rsid w:val="206B2DA6"/>
    <w:rsid w:val="207417C9"/>
    <w:rsid w:val="20747241"/>
    <w:rsid w:val="20831A0C"/>
    <w:rsid w:val="208E288A"/>
    <w:rsid w:val="20914D43"/>
    <w:rsid w:val="20934234"/>
    <w:rsid w:val="20983709"/>
    <w:rsid w:val="20A35C0A"/>
    <w:rsid w:val="20B971DB"/>
    <w:rsid w:val="20BB2F53"/>
    <w:rsid w:val="20C813D6"/>
    <w:rsid w:val="20D236AA"/>
    <w:rsid w:val="20DA5ACF"/>
    <w:rsid w:val="20DD1B10"/>
    <w:rsid w:val="20E26732"/>
    <w:rsid w:val="20E424AA"/>
    <w:rsid w:val="20EF721E"/>
    <w:rsid w:val="20F51111"/>
    <w:rsid w:val="20F52909"/>
    <w:rsid w:val="20FE2EF4"/>
    <w:rsid w:val="210112AE"/>
    <w:rsid w:val="21022930"/>
    <w:rsid w:val="210B0F4A"/>
    <w:rsid w:val="210F504D"/>
    <w:rsid w:val="21132D8F"/>
    <w:rsid w:val="21156B08"/>
    <w:rsid w:val="211A5ECC"/>
    <w:rsid w:val="21244F9D"/>
    <w:rsid w:val="2129610F"/>
    <w:rsid w:val="212B00D9"/>
    <w:rsid w:val="21303941"/>
    <w:rsid w:val="21350F58"/>
    <w:rsid w:val="21442C28"/>
    <w:rsid w:val="21505D92"/>
    <w:rsid w:val="215313DE"/>
    <w:rsid w:val="216058A9"/>
    <w:rsid w:val="21751354"/>
    <w:rsid w:val="217C6B87"/>
    <w:rsid w:val="21894E00"/>
    <w:rsid w:val="218E2416"/>
    <w:rsid w:val="2197576F"/>
    <w:rsid w:val="219F63D1"/>
    <w:rsid w:val="21A32365"/>
    <w:rsid w:val="21A97250"/>
    <w:rsid w:val="21AB746C"/>
    <w:rsid w:val="21B04A82"/>
    <w:rsid w:val="21C56DF1"/>
    <w:rsid w:val="21CE6CB6"/>
    <w:rsid w:val="21D4251F"/>
    <w:rsid w:val="21D70261"/>
    <w:rsid w:val="21DA1AFF"/>
    <w:rsid w:val="21DA38AD"/>
    <w:rsid w:val="21DC5877"/>
    <w:rsid w:val="21DD6EFA"/>
    <w:rsid w:val="21E94FBA"/>
    <w:rsid w:val="21ED35E0"/>
    <w:rsid w:val="21F66939"/>
    <w:rsid w:val="21F7620D"/>
    <w:rsid w:val="21F93D33"/>
    <w:rsid w:val="21FE134A"/>
    <w:rsid w:val="21FE759C"/>
    <w:rsid w:val="2206234A"/>
    <w:rsid w:val="220D5A31"/>
    <w:rsid w:val="221125E5"/>
    <w:rsid w:val="22222E58"/>
    <w:rsid w:val="22254289"/>
    <w:rsid w:val="222D1C2F"/>
    <w:rsid w:val="2234120F"/>
    <w:rsid w:val="22451BC7"/>
    <w:rsid w:val="22521696"/>
    <w:rsid w:val="2254540E"/>
    <w:rsid w:val="22597779"/>
    <w:rsid w:val="2268710B"/>
    <w:rsid w:val="226F199F"/>
    <w:rsid w:val="22820F48"/>
    <w:rsid w:val="22853819"/>
    <w:rsid w:val="228B346E"/>
    <w:rsid w:val="2297354C"/>
    <w:rsid w:val="2299544E"/>
    <w:rsid w:val="22995516"/>
    <w:rsid w:val="229B303C"/>
    <w:rsid w:val="22A068A5"/>
    <w:rsid w:val="22A16179"/>
    <w:rsid w:val="22A46395"/>
    <w:rsid w:val="22BD7457"/>
    <w:rsid w:val="22C34341"/>
    <w:rsid w:val="22D95913"/>
    <w:rsid w:val="22E03B48"/>
    <w:rsid w:val="22E744D4"/>
    <w:rsid w:val="22F1429A"/>
    <w:rsid w:val="22F20D52"/>
    <w:rsid w:val="23040BE2"/>
    <w:rsid w:val="23056708"/>
    <w:rsid w:val="230B6CAA"/>
    <w:rsid w:val="230C1F3B"/>
    <w:rsid w:val="232E2103"/>
    <w:rsid w:val="23333275"/>
    <w:rsid w:val="2333633B"/>
    <w:rsid w:val="23416715"/>
    <w:rsid w:val="235F2857"/>
    <w:rsid w:val="2372447B"/>
    <w:rsid w:val="23865A9B"/>
    <w:rsid w:val="23887A65"/>
    <w:rsid w:val="23902475"/>
    <w:rsid w:val="23962861"/>
    <w:rsid w:val="23971A56"/>
    <w:rsid w:val="239E5934"/>
    <w:rsid w:val="23AA3203"/>
    <w:rsid w:val="23AE4FF1"/>
    <w:rsid w:val="23B51EDC"/>
    <w:rsid w:val="23BB2620"/>
    <w:rsid w:val="23BC14BC"/>
    <w:rsid w:val="23BC7767"/>
    <w:rsid w:val="23BD0D69"/>
    <w:rsid w:val="23BF0FAD"/>
    <w:rsid w:val="23C203D7"/>
    <w:rsid w:val="23C41ED8"/>
    <w:rsid w:val="23C72304"/>
    <w:rsid w:val="23D34A58"/>
    <w:rsid w:val="23D46034"/>
    <w:rsid w:val="23DE6210"/>
    <w:rsid w:val="23E7405F"/>
    <w:rsid w:val="23E822B1"/>
    <w:rsid w:val="23F21382"/>
    <w:rsid w:val="23F30C56"/>
    <w:rsid w:val="23F5677C"/>
    <w:rsid w:val="24084702"/>
    <w:rsid w:val="240864B0"/>
    <w:rsid w:val="24091CE0"/>
    <w:rsid w:val="24134E54"/>
    <w:rsid w:val="2424504C"/>
    <w:rsid w:val="24297F24"/>
    <w:rsid w:val="242A17CA"/>
    <w:rsid w:val="242F4753"/>
    <w:rsid w:val="243A0633"/>
    <w:rsid w:val="2444388B"/>
    <w:rsid w:val="2446522A"/>
    <w:rsid w:val="244D4ED3"/>
    <w:rsid w:val="24596D0B"/>
    <w:rsid w:val="245D4D7B"/>
    <w:rsid w:val="245E2574"/>
    <w:rsid w:val="245E2EB0"/>
    <w:rsid w:val="245E35F5"/>
    <w:rsid w:val="246A53BC"/>
    <w:rsid w:val="246D27B7"/>
    <w:rsid w:val="2483022C"/>
    <w:rsid w:val="24855D52"/>
    <w:rsid w:val="248E73BE"/>
    <w:rsid w:val="248F3633"/>
    <w:rsid w:val="2492221D"/>
    <w:rsid w:val="249C4E4A"/>
    <w:rsid w:val="24A24B56"/>
    <w:rsid w:val="24B84A84"/>
    <w:rsid w:val="24B85AC3"/>
    <w:rsid w:val="24C0322E"/>
    <w:rsid w:val="24C745BD"/>
    <w:rsid w:val="24CA5E5B"/>
    <w:rsid w:val="24CE594B"/>
    <w:rsid w:val="24CE772C"/>
    <w:rsid w:val="24DA1828"/>
    <w:rsid w:val="24DB1E16"/>
    <w:rsid w:val="24E0742D"/>
    <w:rsid w:val="24E077C8"/>
    <w:rsid w:val="24EA3E07"/>
    <w:rsid w:val="24EC4023"/>
    <w:rsid w:val="24ED38F7"/>
    <w:rsid w:val="250436C8"/>
    <w:rsid w:val="251B1226"/>
    <w:rsid w:val="25387269"/>
    <w:rsid w:val="25396B3D"/>
    <w:rsid w:val="25397790"/>
    <w:rsid w:val="254002A6"/>
    <w:rsid w:val="25445C0D"/>
    <w:rsid w:val="2547125A"/>
    <w:rsid w:val="255120D8"/>
    <w:rsid w:val="25535E50"/>
    <w:rsid w:val="25537BFE"/>
    <w:rsid w:val="255D0A7D"/>
    <w:rsid w:val="2561056D"/>
    <w:rsid w:val="256367CC"/>
    <w:rsid w:val="25785599"/>
    <w:rsid w:val="258C1362"/>
    <w:rsid w:val="258E0C37"/>
    <w:rsid w:val="25916979"/>
    <w:rsid w:val="259734E4"/>
    <w:rsid w:val="25A14E0E"/>
    <w:rsid w:val="25AE3087"/>
    <w:rsid w:val="25B70817"/>
    <w:rsid w:val="25BC1C48"/>
    <w:rsid w:val="25C76BB6"/>
    <w:rsid w:val="25D23219"/>
    <w:rsid w:val="25D725DE"/>
    <w:rsid w:val="25DF1492"/>
    <w:rsid w:val="25DF175E"/>
    <w:rsid w:val="25EB4C4B"/>
    <w:rsid w:val="25EB6089"/>
    <w:rsid w:val="25F50646"/>
    <w:rsid w:val="25F82554"/>
    <w:rsid w:val="25FA051D"/>
    <w:rsid w:val="25FA451E"/>
    <w:rsid w:val="25FD6643"/>
    <w:rsid w:val="260730D7"/>
    <w:rsid w:val="26154EB4"/>
    <w:rsid w:val="261750D0"/>
    <w:rsid w:val="26211AAB"/>
    <w:rsid w:val="26357304"/>
    <w:rsid w:val="265359DC"/>
    <w:rsid w:val="26541E80"/>
    <w:rsid w:val="265A3A36"/>
    <w:rsid w:val="265D1D80"/>
    <w:rsid w:val="265F50AF"/>
    <w:rsid w:val="2663431E"/>
    <w:rsid w:val="267A11BB"/>
    <w:rsid w:val="267E514F"/>
    <w:rsid w:val="267E6EFD"/>
    <w:rsid w:val="26871C47"/>
    <w:rsid w:val="26872AE9"/>
    <w:rsid w:val="26893EC7"/>
    <w:rsid w:val="26971D6D"/>
    <w:rsid w:val="269D2661"/>
    <w:rsid w:val="269E461F"/>
    <w:rsid w:val="26A21FBB"/>
    <w:rsid w:val="26A31218"/>
    <w:rsid w:val="26AD333E"/>
    <w:rsid w:val="26B20955"/>
    <w:rsid w:val="26B52253"/>
    <w:rsid w:val="26BA48C5"/>
    <w:rsid w:val="26C10153"/>
    <w:rsid w:val="26D11723"/>
    <w:rsid w:val="26DB7EAB"/>
    <w:rsid w:val="26EC20B9"/>
    <w:rsid w:val="26F176CF"/>
    <w:rsid w:val="26F31699"/>
    <w:rsid w:val="27003DB6"/>
    <w:rsid w:val="27015B5E"/>
    <w:rsid w:val="27167136"/>
    <w:rsid w:val="27181100"/>
    <w:rsid w:val="27182EAE"/>
    <w:rsid w:val="271E423C"/>
    <w:rsid w:val="27225ADA"/>
    <w:rsid w:val="2725381D"/>
    <w:rsid w:val="272730F1"/>
    <w:rsid w:val="27277595"/>
    <w:rsid w:val="273D4376"/>
    <w:rsid w:val="273E043A"/>
    <w:rsid w:val="274A6DDF"/>
    <w:rsid w:val="274E5B1C"/>
    <w:rsid w:val="2758774E"/>
    <w:rsid w:val="276C31F9"/>
    <w:rsid w:val="276C5F99"/>
    <w:rsid w:val="27736336"/>
    <w:rsid w:val="27757240"/>
    <w:rsid w:val="27814EF7"/>
    <w:rsid w:val="27870033"/>
    <w:rsid w:val="27897907"/>
    <w:rsid w:val="278B2C87"/>
    <w:rsid w:val="279462AC"/>
    <w:rsid w:val="279F0E77"/>
    <w:rsid w:val="27AD4712"/>
    <w:rsid w:val="27B01338"/>
    <w:rsid w:val="27CD7B4E"/>
    <w:rsid w:val="27D35027"/>
    <w:rsid w:val="27D53AB7"/>
    <w:rsid w:val="27DB3EDB"/>
    <w:rsid w:val="27E775DD"/>
    <w:rsid w:val="27F136FF"/>
    <w:rsid w:val="27F37477"/>
    <w:rsid w:val="27F82CDF"/>
    <w:rsid w:val="27FA25B3"/>
    <w:rsid w:val="28096C9A"/>
    <w:rsid w:val="28284C17"/>
    <w:rsid w:val="283E5EF8"/>
    <w:rsid w:val="28422237"/>
    <w:rsid w:val="285735F9"/>
    <w:rsid w:val="286B1703"/>
    <w:rsid w:val="288E0F4E"/>
    <w:rsid w:val="28945E55"/>
    <w:rsid w:val="289522DC"/>
    <w:rsid w:val="28A01E65"/>
    <w:rsid w:val="28A33897"/>
    <w:rsid w:val="28AB0C28"/>
    <w:rsid w:val="28B30264"/>
    <w:rsid w:val="28CD7CC8"/>
    <w:rsid w:val="28D63020"/>
    <w:rsid w:val="28F2772E"/>
    <w:rsid w:val="28F96D0F"/>
    <w:rsid w:val="29003BF9"/>
    <w:rsid w:val="29046020"/>
    <w:rsid w:val="29121B7F"/>
    <w:rsid w:val="291E6775"/>
    <w:rsid w:val="29257B04"/>
    <w:rsid w:val="292C578B"/>
    <w:rsid w:val="29332221"/>
    <w:rsid w:val="29345F99"/>
    <w:rsid w:val="2936586D"/>
    <w:rsid w:val="294855A0"/>
    <w:rsid w:val="294A756A"/>
    <w:rsid w:val="295D104C"/>
    <w:rsid w:val="296323DA"/>
    <w:rsid w:val="29651DB6"/>
    <w:rsid w:val="29683274"/>
    <w:rsid w:val="297B1B90"/>
    <w:rsid w:val="297D349C"/>
    <w:rsid w:val="29A46E4B"/>
    <w:rsid w:val="29AC5B2F"/>
    <w:rsid w:val="29B50E88"/>
    <w:rsid w:val="29B727FF"/>
    <w:rsid w:val="29CA2459"/>
    <w:rsid w:val="29CE5AA6"/>
    <w:rsid w:val="29D07A70"/>
    <w:rsid w:val="29DA269C"/>
    <w:rsid w:val="2A0140CD"/>
    <w:rsid w:val="2A027E45"/>
    <w:rsid w:val="2A063491"/>
    <w:rsid w:val="2A07545B"/>
    <w:rsid w:val="2A1831C5"/>
    <w:rsid w:val="2A2878AC"/>
    <w:rsid w:val="2A2B2EF8"/>
    <w:rsid w:val="2A2C55DC"/>
    <w:rsid w:val="2A353D77"/>
    <w:rsid w:val="2A3938C1"/>
    <w:rsid w:val="2A406BE9"/>
    <w:rsid w:val="2A41271B"/>
    <w:rsid w:val="2A587A65"/>
    <w:rsid w:val="2A5B2AC2"/>
    <w:rsid w:val="2A5C7555"/>
    <w:rsid w:val="2A782080"/>
    <w:rsid w:val="2A7A3E7F"/>
    <w:rsid w:val="2A8C1716"/>
    <w:rsid w:val="2A8E4390"/>
    <w:rsid w:val="2A9F38E6"/>
    <w:rsid w:val="2AA131BA"/>
    <w:rsid w:val="2AA96E7A"/>
    <w:rsid w:val="2AAD1B5F"/>
    <w:rsid w:val="2AAE3A4E"/>
    <w:rsid w:val="2AB54EB7"/>
    <w:rsid w:val="2AB74D6A"/>
    <w:rsid w:val="2AC1560A"/>
    <w:rsid w:val="2ACB21DF"/>
    <w:rsid w:val="2AD03A9F"/>
    <w:rsid w:val="2AD552A4"/>
    <w:rsid w:val="2ADB29E2"/>
    <w:rsid w:val="2AE56425"/>
    <w:rsid w:val="2AED4651"/>
    <w:rsid w:val="2AF14141"/>
    <w:rsid w:val="2AF754D0"/>
    <w:rsid w:val="2AFA28CA"/>
    <w:rsid w:val="2B004385"/>
    <w:rsid w:val="2B050B4A"/>
    <w:rsid w:val="2B0970C8"/>
    <w:rsid w:val="2B0A5203"/>
    <w:rsid w:val="2B12230A"/>
    <w:rsid w:val="2B164325"/>
    <w:rsid w:val="2B165956"/>
    <w:rsid w:val="2B1909F5"/>
    <w:rsid w:val="2B1B11BE"/>
    <w:rsid w:val="2B32787F"/>
    <w:rsid w:val="2B406E77"/>
    <w:rsid w:val="2B4600C5"/>
    <w:rsid w:val="2B473D61"/>
    <w:rsid w:val="2B485D2C"/>
    <w:rsid w:val="2B4A3852"/>
    <w:rsid w:val="2B4D3342"/>
    <w:rsid w:val="2B4F1381"/>
    <w:rsid w:val="2B51698E"/>
    <w:rsid w:val="2B597F39"/>
    <w:rsid w:val="2B5C620E"/>
    <w:rsid w:val="2B676954"/>
    <w:rsid w:val="2B683CD8"/>
    <w:rsid w:val="2B6A7A50"/>
    <w:rsid w:val="2B6C7B04"/>
    <w:rsid w:val="2B726905"/>
    <w:rsid w:val="2B9B22FF"/>
    <w:rsid w:val="2B9F5F14"/>
    <w:rsid w:val="2BAA5659"/>
    <w:rsid w:val="2BB46F1D"/>
    <w:rsid w:val="2BC058C2"/>
    <w:rsid w:val="2BCC24B9"/>
    <w:rsid w:val="2BDA1A1F"/>
    <w:rsid w:val="2BDC5F73"/>
    <w:rsid w:val="2BE50EDD"/>
    <w:rsid w:val="2BE94E19"/>
    <w:rsid w:val="2BF36AFE"/>
    <w:rsid w:val="2BF612E4"/>
    <w:rsid w:val="2BFA7026"/>
    <w:rsid w:val="2C0C4FAB"/>
    <w:rsid w:val="2C0E487F"/>
    <w:rsid w:val="2C106849"/>
    <w:rsid w:val="2C1A1476"/>
    <w:rsid w:val="2C2022A4"/>
    <w:rsid w:val="2C2220D9"/>
    <w:rsid w:val="2C300F0D"/>
    <w:rsid w:val="2C3818FC"/>
    <w:rsid w:val="2C3F4256"/>
    <w:rsid w:val="2C424529"/>
    <w:rsid w:val="2C5F157F"/>
    <w:rsid w:val="2C696A9D"/>
    <w:rsid w:val="2C710E56"/>
    <w:rsid w:val="2C714951"/>
    <w:rsid w:val="2C8B4122"/>
    <w:rsid w:val="2C90798A"/>
    <w:rsid w:val="2C9A4978"/>
    <w:rsid w:val="2C9F5E1F"/>
    <w:rsid w:val="2CA15DD6"/>
    <w:rsid w:val="2CA451E4"/>
    <w:rsid w:val="2CA91BD2"/>
    <w:rsid w:val="2CAB0320"/>
    <w:rsid w:val="2CAB6572"/>
    <w:rsid w:val="2CAD1E3D"/>
    <w:rsid w:val="2CB24CAA"/>
    <w:rsid w:val="2CB25B52"/>
    <w:rsid w:val="2CB82A3D"/>
    <w:rsid w:val="2CB847EB"/>
    <w:rsid w:val="2CCD272F"/>
    <w:rsid w:val="2CE11F94"/>
    <w:rsid w:val="2CF125AC"/>
    <w:rsid w:val="2CF72D2A"/>
    <w:rsid w:val="2CF972DD"/>
    <w:rsid w:val="2CFB3C58"/>
    <w:rsid w:val="2CFE2B46"/>
    <w:rsid w:val="2D0637A8"/>
    <w:rsid w:val="2D162CD5"/>
    <w:rsid w:val="2D241E80"/>
    <w:rsid w:val="2D376532"/>
    <w:rsid w:val="2D3B78F6"/>
    <w:rsid w:val="2D4A5D8B"/>
    <w:rsid w:val="2D4F514F"/>
    <w:rsid w:val="2D4F6EFD"/>
    <w:rsid w:val="2D5B1D46"/>
    <w:rsid w:val="2D5E5392"/>
    <w:rsid w:val="2D60735C"/>
    <w:rsid w:val="2D630BFB"/>
    <w:rsid w:val="2D654973"/>
    <w:rsid w:val="2D687FBF"/>
    <w:rsid w:val="2D7C1CBC"/>
    <w:rsid w:val="2D7E5A35"/>
    <w:rsid w:val="2D8C0151"/>
    <w:rsid w:val="2D8E3DD3"/>
    <w:rsid w:val="2D955700"/>
    <w:rsid w:val="2D9640B1"/>
    <w:rsid w:val="2D9708A4"/>
    <w:rsid w:val="2D971362"/>
    <w:rsid w:val="2DA01E4F"/>
    <w:rsid w:val="2DA116B6"/>
    <w:rsid w:val="2DA336ED"/>
    <w:rsid w:val="2DAA682A"/>
    <w:rsid w:val="2DB80F46"/>
    <w:rsid w:val="2DCF0BED"/>
    <w:rsid w:val="2DD07C74"/>
    <w:rsid w:val="2DDA7C16"/>
    <w:rsid w:val="2DDC3596"/>
    <w:rsid w:val="2DDD3DC1"/>
    <w:rsid w:val="2DE47F8D"/>
    <w:rsid w:val="2DE81100"/>
    <w:rsid w:val="2DF45796"/>
    <w:rsid w:val="2DF87595"/>
    <w:rsid w:val="2E0221C2"/>
    <w:rsid w:val="2E0F2B31"/>
    <w:rsid w:val="2E304F81"/>
    <w:rsid w:val="2E3C21B3"/>
    <w:rsid w:val="2E433B73"/>
    <w:rsid w:val="2E5017C7"/>
    <w:rsid w:val="2E514EF7"/>
    <w:rsid w:val="2E5642BC"/>
    <w:rsid w:val="2E586286"/>
    <w:rsid w:val="2E5C5D76"/>
    <w:rsid w:val="2E5D564A"/>
    <w:rsid w:val="2E5E2442"/>
    <w:rsid w:val="2E6A4DEA"/>
    <w:rsid w:val="2E7110F5"/>
    <w:rsid w:val="2E804559"/>
    <w:rsid w:val="2E904977"/>
    <w:rsid w:val="2E972849"/>
    <w:rsid w:val="2EA94D33"/>
    <w:rsid w:val="2EB06C80"/>
    <w:rsid w:val="2EBD11F7"/>
    <w:rsid w:val="2EC456C9"/>
    <w:rsid w:val="2EC90F31"/>
    <w:rsid w:val="2ED0406E"/>
    <w:rsid w:val="2EDA071F"/>
    <w:rsid w:val="2EE713B8"/>
    <w:rsid w:val="2EE80551"/>
    <w:rsid w:val="2F195A15"/>
    <w:rsid w:val="2F1F6192"/>
    <w:rsid w:val="2F206591"/>
    <w:rsid w:val="2F234AE5"/>
    <w:rsid w:val="2F2755E5"/>
    <w:rsid w:val="2F2B1BEC"/>
    <w:rsid w:val="2F324D29"/>
    <w:rsid w:val="2F340C40"/>
    <w:rsid w:val="2F397E65"/>
    <w:rsid w:val="2F447895"/>
    <w:rsid w:val="2F480119"/>
    <w:rsid w:val="2F487756"/>
    <w:rsid w:val="2F522CD5"/>
    <w:rsid w:val="2F5B427F"/>
    <w:rsid w:val="2F650C5A"/>
    <w:rsid w:val="2F6767FD"/>
    <w:rsid w:val="2F68739C"/>
    <w:rsid w:val="2F6A001E"/>
    <w:rsid w:val="2F737930"/>
    <w:rsid w:val="2F7B66D0"/>
    <w:rsid w:val="2F7C41F6"/>
    <w:rsid w:val="2F84182F"/>
    <w:rsid w:val="2F875074"/>
    <w:rsid w:val="2F8A06C1"/>
    <w:rsid w:val="2F8F217B"/>
    <w:rsid w:val="2F927575"/>
    <w:rsid w:val="2F94153F"/>
    <w:rsid w:val="2F950E14"/>
    <w:rsid w:val="2F974B8C"/>
    <w:rsid w:val="2F990904"/>
    <w:rsid w:val="2F9C21A2"/>
    <w:rsid w:val="2F9F7A4B"/>
    <w:rsid w:val="2FA01C92"/>
    <w:rsid w:val="2FC17E5A"/>
    <w:rsid w:val="2FD7142C"/>
    <w:rsid w:val="2FDA08A6"/>
    <w:rsid w:val="2FDB0F1C"/>
    <w:rsid w:val="2FE34275"/>
    <w:rsid w:val="2FE8533D"/>
    <w:rsid w:val="2FE87E8A"/>
    <w:rsid w:val="2FF43D8C"/>
    <w:rsid w:val="2FF63A03"/>
    <w:rsid w:val="2FF7387C"/>
    <w:rsid w:val="2FFD7923"/>
    <w:rsid w:val="300D4E4E"/>
    <w:rsid w:val="30136908"/>
    <w:rsid w:val="30240CA1"/>
    <w:rsid w:val="302A1EA4"/>
    <w:rsid w:val="302C6ACD"/>
    <w:rsid w:val="302E3742"/>
    <w:rsid w:val="30330D58"/>
    <w:rsid w:val="303D3985"/>
    <w:rsid w:val="304A745A"/>
    <w:rsid w:val="30583189"/>
    <w:rsid w:val="306839D6"/>
    <w:rsid w:val="306F78B6"/>
    <w:rsid w:val="30731155"/>
    <w:rsid w:val="307B625B"/>
    <w:rsid w:val="30803872"/>
    <w:rsid w:val="30823A8E"/>
    <w:rsid w:val="30872E52"/>
    <w:rsid w:val="30894E1C"/>
    <w:rsid w:val="308B46F0"/>
    <w:rsid w:val="30907F59"/>
    <w:rsid w:val="30937A49"/>
    <w:rsid w:val="30A01F2A"/>
    <w:rsid w:val="30A25EDE"/>
    <w:rsid w:val="30AB6B41"/>
    <w:rsid w:val="30BA6D84"/>
    <w:rsid w:val="30BF25EC"/>
    <w:rsid w:val="30BF439A"/>
    <w:rsid w:val="30BF71D8"/>
    <w:rsid w:val="30CC18AD"/>
    <w:rsid w:val="30CC3179"/>
    <w:rsid w:val="30D37E45"/>
    <w:rsid w:val="30DD6F16"/>
    <w:rsid w:val="30E00BAA"/>
    <w:rsid w:val="30EE4C7F"/>
    <w:rsid w:val="30EF31D8"/>
    <w:rsid w:val="30F73B34"/>
    <w:rsid w:val="30FC739C"/>
    <w:rsid w:val="310B330B"/>
    <w:rsid w:val="310B75DF"/>
    <w:rsid w:val="31164A27"/>
    <w:rsid w:val="311F752F"/>
    <w:rsid w:val="313703D4"/>
    <w:rsid w:val="313C3C3D"/>
    <w:rsid w:val="313D63DB"/>
    <w:rsid w:val="313F54DB"/>
    <w:rsid w:val="31434FCB"/>
    <w:rsid w:val="31436D79"/>
    <w:rsid w:val="31496359"/>
    <w:rsid w:val="314E1A73"/>
    <w:rsid w:val="3150593A"/>
    <w:rsid w:val="315620F9"/>
    <w:rsid w:val="315973DA"/>
    <w:rsid w:val="315E1E05"/>
    <w:rsid w:val="316118F5"/>
    <w:rsid w:val="316E3354"/>
    <w:rsid w:val="31785CDB"/>
    <w:rsid w:val="31794E91"/>
    <w:rsid w:val="317C04DD"/>
    <w:rsid w:val="317D2E18"/>
    <w:rsid w:val="317F00BE"/>
    <w:rsid w:val="31857392"/>
    <w:rsid w:val="318B4309"/>
    <w:rsid w:val="319B6BB5"/>
    <w:rsid w:val="31A67308"/>
    <w:rsid w:val="31C5366E"/>
    <w:rsid w:val="31CB2FF8"/>
    <w:rsid w:val="31D00D53"/>
    <w:rsid w:val="31DE6AA2"/>
    <w:rsid w:val="31E10FA6"/>
    <w:rsid w:val="31F2079F"/>
    <w:rsid w:val="31FC517A"/>
    <w:rsid w:val="3200779C"/>
    <w:rsid w:val="3207424B"/>
    <w:rsid w:val="321B1AA4"/>
    <w:rsid w:val="323963CE"/>
    <w:rsid w:val="32427031"/>
    <w:rsid w:val="32586854"/>
    <w:rsid w:val="325904C6"/>
    <w:rsid w:val="326A0012"/>
    <w:rsid w:val="326A6587"/>
    <w:rsid w:val="326E7E26"/>
    <w:rsid w:val="32711FC2"/>
    <w:rsid w:val="32713375"/>
    <w:rsid w:val="32780143"/>
    <w:rsid w:val="327921DC"/>
    <w:rsid w:val="327C0C81"/>
    <w:rsid w:val="32847649"/>
    <w:rsid w:val="328E671A"/>
    <w:rsid w:val="32963820"/>
    <w:rsid w:val="329C3E12"/>
    <w:rsid w:val="329D695D"/>
    <w:rsid w:val="329F4483"/>
    <w:rsid w:val="32A61CB5"/>
    <w:rsid w:val="32A70188"/>
    <w:rsid w:val="32A721EF"/>
    <w:rsid w:val="32BF0681"/>
    <w:rsid w:val="32C453D4"/>
    <w:rsid w:val="32C57C62"/>
    <w:rsid w:val="32CB171C"/>
    <w:rsid w:val="32CE4D68"/>
    <w:rsid w:val="32CE61B4"/>
    <w:rsid w:val="32D00AE0"/>
    <w:rsid w:val="32D37E41"/>
    <w:rsid w:val="32DD31FD"/>
    <w:rsid w:val="32DE0B4C"/>
    <w:rsid w:val="32E20907"/>
    <w:rsid w:val="3309799D"/>
    <w:rsid w:val="330B7D6A"/>
    <w:rsid w:val="331309CD"/>
    <w:rsid w:val="33152997"/>
    <w:rsid w:val="33185297"/>
    <w:rsid w:val="331D35FA"/>
    <w:rsid w:val="33285E23"/>
    <w:rsid w:val="332901F1"/>
    <w:rsid w:val="3330332D"/>
    <w:rsid w:val="33311FA0"/>
    <w:rsid w:val="33323549"/>
    <w:rsid w:val="33354DE7"/>
    <w:rsid w:val="33481151"/>
    <w:rsid w:val="33503E39"/>
    <w:rsid w:val="33525999"/>
    <w:rsid w:val="33550FE6"/>
    <w:rsid w:val="3355548A"/>
    <w:rsid w:val="336074D2"/>
    <w:rsid w:val="33615BDC"/>
    <w:rsid w:val="33656245"/>
    <w:rsid w:val="336851BD"/>
    <w:rsid w:val="336C4DD7"/>
    <w:rsid w:val="336F654B"/>
    <w:rsid w:val="33863895"/>
    <w:rsid w:val="339C66A4"/>
    <w:rsid w:val="33A855B9"/>
    <w:rsid w:val="33AE3B69"/>
    <w:rsid w:val="33C82ED5"/>
    <w:rsid w:val="33CA5530"/>
    <w:rsid w:val="33CB45CF"/>
    <w:rsid w:val="33D77C4D"/>
    <w:rsid w:val="33DC5263"/>
    <w:rsid w:val="33E10ACB"/>
    <w:rsid w:val="33EA3E24"/>
    <w:rsid w:val="33F56325"/>
    <w:rsid w:val="34034EE6"/>
    <w:rsid w:val="34050C5E"/>
    <w:rsid w:val="340B78F6"/>
    <w:rsid w:val="341B5D8B"/>
    <w:rsid w:val="34270BD4"/>
    <w:rsid w:val="342A06C4"/>
    <w:rsid w:val="342A2472"/>
    <w:rsid w:val="3435494F"/>
    <w:rsid w:val="34394463"/>
    <w:rsid w:val="34473024"/>
    <w:rsid w:val="34474DD2"/>
    <w:rsid w:val="344C4197"/>
    <w:rsid w:val="344D6161"/>
    <w:rsid w:val="34566669"/>
    <w:rsid w:val="345832FE"/>
    <w:rsid w:val="34670FD0"/>
    <w:rsid w:val="34675474"/>
    <w:rsid w:val="34766219"/>
    <w:rsid w:val="34781430"/>
    <w:rsid w:val="34790D04"/>
    <w:rsid w:val="347B2CCE"/>
    <w:rsid w:val="347E631A"/>
    <w:rsid w:val="347F27BE"/>
    <w:rsid w:val="347F3A43"/>
    <w:rsid w:val="34874D6D"/>
    <w:rsid w:val="34897199"/>
    <w:rsid w:val="34907349"/>
    <w:rsid w:val="34B47F8E"/>
    <w:rsid w:val="34C74165"/>
    <w:rsid w:val="34DB230B"/>
    <w:rsid w:val="34DB7E75"/>
    <w:rsid w:val="34E40873"/>
    <w:rsid w:val="34E95E89"/>
    <w:rsid w:val="34F32864"/>
    <w:rsid w:val="35074561"/>
    <w:rsid w:val="35092088"/>
    <w:rsid w:val="350C1B78"/>
    <w:rsid w:val="35123632"/>
    <w:rsid w:val="351750E2"/>
    <w:rsid w:val="351A24E7"/>
    <w:rsid w:val="351D3D85"/>
    <w:rsid w:val="352F5B2A"/>
    <w:rsid w:val="35301D0A"/>
    <w:rsid w:val="3542559A"/>
    <w:rsid w:val="35496928"/>
    <w:rsid w:val="35501C72"/>
    <w:rsid w:val="355724C8"/>
    <w:rsid w:val="355B7F36"/>
    <w:rsid w:val="355C665B"/>
    <w:rsid w:val="35635B24"/>
    <w:rsid w:val="35645468"/>
    <w:rsid w:val="3586192A"/>
    <w:rsid w:val="35990E27"/>
    <w:rsid w:val="35A324DC"/>
    <w:rsid w:val="35A9284F"/>
    <w:rsid w:val="35D61BDD"/>
    <w:rsid w:val="35E172E8"/>
    <w:rsid w:val="35EF127D"/>
    <w:rsid w:val="35F04FF6"/>
    <w:rsid w:val="35FA7E72"/>
    <w:rsid w:val="36074868"/>
    <w:rsid w:val="360D5BA8"/>
    <w:rsid w:val="361231BE"/>
    <w:rsid w:val="362C24D2"/>
    <w:rsid w:val="362F3D70"/>
    <w:rsid w:val="364610BA"/>
    <w:rsid w:val="364E023B"/>
    <w:rsid w:val="365365D2"/>
    <w:rsid w:val="366645D0"/>
    <w:rsid w:val="366C4FC4"/>
    <w:rsid w:val="366D6646"/>
    <w:rsid w:val="3671265A"/>
    <w:rsid w:val="367F4CF7"/>
    <w:rsid w:val="36820344"/>
    <w:rsid w:val="36910587"/>
    <w:rsid w:val="36963DEF"/>
    <w:rsid w:val="369D6F2B"/>
    <w:rsid w:val="36A007CA"/>
    <w:rsid w:val="36A858D0"/>
    <w:rsid w:val="36B129D7"/>
    <w:rsid w:val="36BA628E"/>
    <w:rsid w:val="36BC44FE"/>
    <w:rsid w:val="36C8706A"/>
    <w:rsid w:val="36CE5337"/>
    <w:rsid w:val="36CF2106"/>
    <w:rsid w:val="36D54C76"/>
    <w:rsid w:val="36D861B6"/>
    <w:rsid w:val="36DF0D50"/>
    <w:rsid w:val="36E0150E"/>
    <w:rsid w:val="36E3096F"/>
    <w:rsid w:val="36EF34FF"/>
    <w:rsid w:val="36F32FEF"/>
    <w:rsid w:val="36FA437E"/>
    <w:rsid w:val="3700570C"/>
    <w:rsid w:val="370B749C"/>
    <w:rsid w:val="370E607B"/>
    <w:rsid w:val="37192687"/>
    <w:rsid w:val="37225683"/>
    <w:rsid w:val="372413FB"/>
    <w:rsid w:val="372E4027"/>
    <w:rsid w:val="37307DA0"/>
    <w:rsid w:val="373A6E70"/>
    <w:rsid w:val="373D070E"/>
    <w:rsid w:val="37476E97"/>
    <w:rsid w:val="374B0846"/>
    <w:rsid w:val="375D66BB"/>
    <w:rsid w:val="37621F23"/>
    <w:rsid w:val="37667C65"/>
    <w:rsid w:val="37702A00"/>
    <w:rsid w:val="37773C20"/>
    <w:rsid w:val="37794054"/>
    <w:rsid w:val="37797999"/>
    <w:rsid w:val="379403E9"/>
    <w:rsid w:val="37A75B88"/>
    <w:rsid w:val="37AB1B1C"/>
    <w:rsid w:val="37AD2E61"/>
    <w:rsid w:val="37BF1123"/>
    <w:rsid w:val="37C37093"/>
    <w:rsid w:val="37C52BDE"/>
    <w:rsid w:val="37C91FA2"/>
    <w:rsid w:val="37D01583"/>
    <w:rsid w:val="37D42E21"/>
    <w:rsid w:val="37E42938"/>
    <w:rsid w:val="37F039D3"/>
    <w:rsid w:val="37F0752F"/>
    <w:rsid w:val="3800229F"/>
    <w:rsid w:val="380B25BB"/>
    <w:rsid w:val="381152A7"/>
    <w:rsid w:val="381E409C"/>
    <w:rsid w:val="381F2A1F"/>
    <w:rsid w:val="3825542A"/>
    <w:rsid w:val="3839282A"/>
    <w:rsid w:val="3844015B"/>
    <w:rsid w:val="384653A1"/>
    <w:rsid w:val="384F24A7"/>
    <w:rsid w:val="385B709E"/>
    <w:rsid w:val="385C4BC4"/>
    <w:rsid w:val="385D4E22"/>
    <w:rsid w:val="386F66A6"/>
    <w:rsid w:val="38787C50"/>
    <w:rsid w:val="38836D57"/>
    <w:rsid w:val="3885411B"/>
    <w:rsid w:val="388B5AF9"/>
    <w:rsid w:val="388D2FD0"/>
    <w:rsid w:val="388F4F9A"/>
    <w:rsid w:val="3891486E"/>
    <w:rsid w:val="389425B0"/>
    <w:rsid w:val="3894435E"/>
    <w:rsid w:val="38B60778"/>
    <w:rsid w:val="38BE4A83"/>
    <w:rsid w:val="38C77330"/>
    <w:rsid w:val="38CC7F9C"/>
    <w:rsid w:val="38D4735D"/>
    <w:rsid w:val="38E47094"/>
    <w:rsid w:val="38E52E0C"/>
    <w:rsid w:val="38E658DA"/>
    <w:rsid w:val="38E76B84"/>
    <w:rsid w:val="38EA0422"/>
    <w:rsid w:val="38EB1BA0"/>
    <w:rsid w:val="38F71526"/>
    <w:rsid w:val="38FC1B6B"/>
    <w:rsid w:val="390019F4"/>
    <w:rsid w:val="390E5EBF"/>
    <w:rsid w:val="392C12C7"/>
    <w:rsid w:val="39330DE0"/>
    <w:rsid w:val="393D6750"/>
    <w:rsid w:val="394144E6"/>
    <w:rsid w:val="395104A1"/>
    <w:rsid w:val="39561B76"/>
    <w:rsid w:val="395C1320"/>
    <w:rsid w:val="3962620A"/>
    <w:rsid w:val="3963760F"/>
    <w:rsid w:val="396B3311"/>
    <w:rsid w:val="396E2E01"/>
    <w:rsid w:val="39706B79"/>
    <w:rsid w:val="39812B34"/>
    <w:rsid w:val="398674E4"/>
    <w:rsid w:val="39AD2179"/>
    <w:rsid w:val="39AD3929"/>
    <w:rsid w:val="39B0341A"/>
    <w:rsid w:val="39B61661"/>
    <w:rsid w:val="39C46EC5"/>
    <w:rsid w:val="39C649EB"/>
    <w:rsid w:val="39C80763"/>
    <w:rsid w:val="39C82975"/>
    <w:rsid w:val="39C96E2B"/>
    <w:rsid w:val="39D16F75"/>
    <w:rsid w:val="39F94DC1"/>
    <w:rsid w:val="3A015A23"/>
    <w:rsid w:val="3A045513"/>
    <w:rsid w:val="3A0A0D7C"/>
    <w:rsid w:val="3A2160C5"/>
    <w:rsid w:val="3A231E3E"/>
    <w:rsid w:val="3A241712"/>
    <w:rsid w:val="3A3359A9"/>
    <w:rsid w:val="3A410516"/>
    <w:rsid w:val="3A413702"/>
    <w:rsid w:val="3A443B62"/>
    <w:rsid w:val="3A451DB4"/>
    <w:rsid w:val="3A490ECA"/>
    <w:rsid w:val="3A4A1178"/>
    <w:rsid w:val="3A62669D"/>
    <w:rsid w:val="3A6F6E31"/>
    <w:rsid w:val="3A742699"/>
    <w:rsid w:val="3A8328DC"/>
    <w:rsid w:val="3A837D71"/>
    <w:rsid w:val="3A992100"/>
    <w:rsid w:val="3AB111F7"/>
    <w:rsid w:val="3AB53FBA"/>
    <w:rsid w:val="3AC21656"/>
    <w:rsid w:val="3AC846FC"/>
    <w:rsid w:val="3AE16E59"/>
    <w:rsid w:val="3AF4084D"/>
    <w:rsid w:val="3AFD61EB"/>
    <w:rsid w:val="3AFF70CF"/>
    <w:rsid w:val="3B06561F"/>
    <w:rsid w:val="3B181276"/>
    <w:rsid w:val="3B196D9D"/>
    <w:rsid w:val="3B20637D"/>
    <w:rsid w:val="3B31058A"/>
    <w:rsid w:val="3B345984"/>
    <w:rsid w:val="3B3A743F"/>
    <w:rsid w:val="3B4402BD"/>
    <w:rsid w:val="3B4A33FA"/>
    <w:rsid w:val="3B4F27BE"/>
    <w:rsid w:val="3B5129DA"/>
    <w:rsid w:val="3B5D137F"/>
    <w:rsid w:val="3B5E2485"/>
    <w:rsid w:val="3B5F0C53"/>
    <w:rsid w:val="3B5F50F7"/>
    <w:rsid w:val="3B620744"/>
    <w:rsid w:val="3B6A3D5C"/>
    <w:rsid w:val="3B6C511E"/>
    <w:rsid w:val="3B7B1805"/>
    <w:rsid w:val="3B7D557D"/>
    <w:rsid w:val="3B7E2F1A"/>
    <w:rsid w:val="3B854D55"/>
    <w:rsid w:val="3B9A1C8B"/>
    <w:rsid w:val="3BA809DB"/>
    <w:rsid w:val="3BAA4B37"/>
    <w:rsid w:val="3BAC19BF"/>
    <w:rsid w:val="3BAC7C11"/>
    <w:rsid w:val="3BAF3466"/>
    <w:rsid w:val="3BB16FD5"/>
    <w:rsid w:val="3BBA0580"/>
    <w:rsid w:val="3BBE7B2F"/>
    <w:rsid w:val="3BBF5B96"/>
    <w:rsid w:val="3BC9431F"/>
    <w:rsid w:val="3BD50F16"/>
    <w:rsid w:val="3BD86C58"/>
    <w:rsid w:val="3BDD426E"/>
    <w:rsid w:val="3C046AB8"/>
    <w:rsid w:val="3C090BBF"/>
    <w:rsid w:val="3C1958CC"/>
    <w:rsid w:val="3C3A521C"/>
    <w:rsid w:val="3C4A1903"/>
    <w:rsid w:val="3C4B71F8"/>
    <w:rsid w:val="3C5701AD"/>
    <w:rsid w:val="3C5D3843"/>
    <w:rsid w:val="3C756255"/>
    <w:rsid w:val="3C7C5835"/>
    <w:rsid w:val="3CA3789E"/>
    <w:rsid w:val="3CAA7476"/>
    <w:rsid w:val="3CB925E5"/>
    <w:rsid w:val="3CBA20A0"/>
    <w:rsid w:val="3CBC3E83"/>
    <w:rsid w:val="3CCF3BB7"/>
    <w:rsid w:val="3CD76F0F"/>
    <w:rsid w:val="3CEA279F"/>
    <w:rsid w:val="3CED228F"/>
    <w:rsid w:val="3CEF6007"/>
    <w:rsid w:val="3CF16DA5"/>
    <w:rsid w:val="3CF278A5"/>
    <w:rsid w:val="3CFA4B0B"/>
    <w:rsid w:val="3CFB0E50"/>
    <w:rsid w:val="3CFD3A64"/>
    <w:rsid w:val="3D023F8C"/>
    <w:rsid w:val="3D0D6C88"/>
    <w:rsid w:val="3D106945"/>
    <w:rsid w:val="3D141416"/>
    <w:rsid w:val="3D1E68EC"/>
    <w:rsid w:val="3D26440A"/>
    <w:rsid w:val="3D2E4D81"/>
    <w:rsid w:val="3D443BFF"/>
    <w:rsid w:val="3D74650C"/>
    <w:rsid w:val="3D7D7AB7"/>
    <w:rsid w:val="3D840E45"/>
    <w:rsid w:val="3D8574A8"/>
    <w:rsid w:val="3D89645B"/>
    <w:rsid w:val="3D8A59E6"/>
    <w:rsid w:val="3D8F1598"/>
    <w:rsid w:val="3D932E36"/>
    <w:rsid w:val="3DA52B6A"/>
    <w:rsid w:val="3DDA6CB7"/>
    <w:rsid w:val="3DDF7E2A"/>
    <w:rsid w:val="3DE03BA2"/>
    <w:rsid w:val="3DE418E4"/>
    <w:rsid w:val="3DF338D5"/>
    <w:rsid w:val="3DF8484A"/>
    <w:rsid w:val="3E077380"/>
    <w:rsid w:val="3E0B6E71"/>
    <w:rsid w:val="3E0D7E4E"/>
    <w:rsid w:val="3E0E4BB3"/>
    <w:rsid w:val="3E18158D"/>
    <w:rsid w:val="3E23065E"/>
    <w:rsid w:val="3E371A14"/>
    <w:rsid w:val="3E3D2DA2"/>
    <w:rsid w:val="3E6566FD"/>
    <w:rsid w:val="3E657D73"/>
    <w:rsid w:val="3E80217E"/>
    <w:rsid w:val="3E9861AD"/>
    <w:rsid w:val="3E99447C"/>
    <w:rsid w:val="3E9C22B3"/>
    <w:rsid w:val="3EA177D5"/>
    <w:rsid w:val="3EB07A18"/>
    <w:rsid w:val="3EC3599D"/>
    <w:rsid w:val="3ECA56C6"/>
    <w:rsid w:val="3ED03C16"/>
    <w:rsid w:val="3ED25BE0"/>
    <w:rsid w:val="3EDE27D7"/>
    <w:rsid w:val="3EDE4585"/>
    <w:rsid w:val="3EE8025B"/>
    <w:rsid w:val="3EF26282"/>
    <w:rsid w:val="3EF9316D"/>
    <w:rsid w:val="3F073ADC"/>
    <w:rsid w:val="3F0A35CC"/>
    <w:rsid w:val="3F0A537A"/>
    <w:rsid w:val="3F253F62"/>
    <w:rsid w:val="3F2A1FD8"/>
    <w:rsid w:val="3F2D62D4"/>
    <w:rsid w:val="3F316DAB"/>
    <w:rsid w:val="3F375A43"/>
    <w:rsid w:val="3F3C4311"/>
    <w:rsid w:val="3F4A5777"/>
    <w:rsid w:val="3F4E170B"/>
    <w:rsid w:val="3F4F7231"/>
    <w:rsid w:val="3F504BCE"/>
    <w:rsid w:val="3F5860E5"/>
    <w:rsid w:val="3F621BB4"/>
    <w:rsid w:val="3F67249C"/>
    <w:rsid w:val="3F695DAF"/>
    <w:rsid w:val="3F79605C"/>
    <w:rsid w:val="3F7F4A91"/>
    <w:rsid w:val="3F7F7B16"/>
    <w:rsid w:val="3F852C53"/>
    <w:rsid w:val="3F854A01"/>
    <w:rsid w:val="3F942E96"/>
    <w:rsid w:val="3F9904AC"/>
    <w:rsid w:val="3F9E237A"/>
    <w:rsid w:val="3FA36D96"/>
    <w:rsid w:val="3FAE03FB"/>
    <w:rsid w:val="3FC96FE3"/>
    <w:rsid w:val="3FC97621"/>
    <w:rsid w:val="3FE61943"/>
    <w:rsid w:val="3FE838B7"/>
    <w:rsid w:val="400B3158"/>
    <w:rsid w:val="400E5D55"/>
    <w:rsid w:val="40285A55"/>
    <w:rsid w:val="402B55A8"/>
    <w:rsid w:val="403C5A07"/>
    <w:rsid w:val="404F4551"/>
    <w:rsid w:val="40550877"/>
    <w:rsid w:val="40646D0C"/>
    <w:rsid w:val="406D21CA"/>
    <w:rsid w:val="407451A1"/>
    <w:rsid w:val="40784565"/>
    <w:rsid w:val="407D1B7C"/>
    <w:rsid w:val="408812A1"/>
    <w:rsid w:val="408F39F1"/>
    <w:rsid w:val="40920940"/>
    <w:rsid w:val="4093098F"/>
    <w:rsid w:val="40980764"/>
    <w:rsid w:val="409C036C"/>
    <w:rsid w:val="40A9471F"/>
    <w:rsid w:val="40AA0BC3"/>
    <w:rsid w:val="40B51316"/>
    <w:rsid w:val="40C559FD"/>
    <w:rsid w:val="40CA3013"/>
    <w:rsid w:val="40CD665F"/>
    <w:rsid w:val="40D1060A"/>
    <w:rsid w:val="40D948D2"/>
    <w:rsid w:val="40F0011E"/>
    <w:rsid w:val="40FC1AE2"/>
    <w:rsid w:val="41004C87"/>
    <w:rsid w:val="410D4CAE"/>
    <w:rsid w:val="41195D48"/>
    <w:rsid w:val="411E335F"/>
    <w:rsid w:val="41306BEE"/>
    <w:rsid w:val="4134048C"/>
    <w:rsid w:val="413C7D3D"/>
    <w:rsid w:val="413E207F"/>
    <w:rsid w:val="41483F38"/>
    <w:rsid w:val="41484815"/>
    <w:rsid w:val="414A14AB"/>
    <w:rsid w:val="414A5F02"/>
    <w:rsid w:val="415C0895"/>
    <w:rsid w:val="41656898"/>
    <w:rsid w:val="416914E8"/>
    <w:rsid w:val="41742F7F"/>
    <w:rsid w:val="41833FF4"/>
    <w:rsid w:val="41990C37"/>
    <w:rsid w:val="41AC3BB4"/>
    <w:rsid w:val="41B65345"/>
    <w:rsid w:val="41C71300"/>
    <w:rsid w:val="41D10845"/>
    <w:rsid w:val="41D34149"/>
    <w:rsid w:val="41D41C6F"/>
    <w:rsid w:val="41D81175"/>
    <w:rsid w:val="41E0422D"/>
    <w:rsid w:val="41E33C60"/>
    <w:rsid w:val="41E606A4"/>
    <w:rsid w:val="41FF4F3E"/>
    <w:rsid w:val="4202058A"/>
    <w:rsid w:val="42075B30"/>
    <w:rsid w:val="420A7D6E"/>
    <w:rsid w:val="420C31B7"/>
    <w:rsid w:val="421502BE"/>
    <w:rsid w:val="421A1D78"/>
    <w:rsid w:val="421F738E"/>
    <w:rsid w:val="422C5636"/>
    <w:rsid w:val="42334BE8"/>
    <w:rsid w:val="42380450"/>
    <w:rsid w:val="42641245"/>
    <w:rsid w:val="426C3C56"/>
    <w:rsid w:val="426C5343"/>
    <w:rsid w:val="42815953"/>
    <w:rsid w:val="42823479"/>
    <w:rsid w:val="42857B53"/>
    <w:rsid w:val="428B67D2"/>
    <w:rsid w:val="428C6069"/>
    <w:rsid w:val="42905B96"/>
    <w:rsid w:val="42A06AC7"/>
    <w:rsid w:val="42A41642"/>
    <w:rsid w:val="42B3773B"/>
    <w:rsid w:val="42C550A4"/>
    <w:rsid w:val="42CB6BCE"/>
    <w:rsid w:val="42CD2D1A"/>
    <w:rsid w:val="42D77361"/>
    <w:rsid w:val="42DE2DA6"/>
    <w:rsid w:val="42F205FF"/>
    <w:rsid w:val="42F75C15"/>
    <w:rsid w:val="43147B68"/>
    <w:rsid w:val="43193DDE"/>
    <w:rsid w:val="433168C8"/>
    <w:rsid w:val="43370708"/>
    <w:rsid w:val="43505326"/>
    <w:rsid w:val="435577AD"/>
    <w:rsid w:val="43650DD1"/>
    <w:rsid w:val="436C03B1"/>
    <w:rsid w:val="43713A0D"/>
    <w:rsid w:val="437A0603"/>
    <w:rsid w:val="437D7322"/>
    <w:rsid w:val="43803E5D"/>
    <w:rsid w:val="43893C7E"/>
    <w:rsid w:val="4391606A"/>
    <w:rsid w:val="4392593E"/>
    <w:rsid w:val="43C256B0"/>
    <w:rsid w:val="43C401ED"/>
    <w:rsid w:val="43C57AC2"/>
    <w:rsid w:val="43CB6A50"/>
    <w:rsid w:val="43CE2A24"/>
    <w:rsid w:val="44024872"/>
    <w:rsid w:val="44135387"/>
    <w:rsid w:val="44185E43"/>
    <w:rsid w:val="441B74E4"/>
    <w:rsid w:val="442E06CB"/>
    <w:rsid w:val="44324E9D"/>
    <w:rsid w:val="44457410"/>
    <w:rsid w:val="44583DF0"/>
    <w:rsid w:val="446472DA"/>
    <w:rsid w:val="446B68BB"/>
    <w:rsid w:val="447918D0"/>
    <w:rsid w:val="44866BBB"/>
    <w:rsid w:val="448D0FE1"/>
    <w:rsid w:val="448E07FB"/>
    <w:rsid w:val="449556E6"/>
    <w:rsid w:val="44993977"/>
    <w:rsid w:val="44BC3044"/>
    <w:rsid w:val="44C0425C"/>
    <w:rsid w:val="44C138E2"/>
    <w:rsid w:val="44C61D43"/>
    <w:rsid w:val="44C77869"/>
    <w:rsid w:val="44CA7E6B"/>
    <w:rsid w:val="44DC50C3"/>
    <w:rsid w:val="44E93C84"/>
    <w:rsid w:val="44ED3784"/>
    <w:rsid w:val="44F9599A"/>
    <w:rsid w:val="44FA19ED"/>
    <w:rsid w:val="44FD1FE2"/>
    <w:rsid w:val="45036AF3"/>
    <w:rsid w:val="4504286C"/>
    <w:rsid w:val="450B1E4C"/>
    <w:rsid w:val="450B3BFA"/>
    <w:rsid w:val="450E7246"/>
    <w:rsid w:val="451707F1"/>
    <w:rsid w:val="451758BA"/>
    <w:rsid w:val="451E392D"/>
    <w:rsid w:val="45237196"/>
    <w:rsid w:val="452E1696"/>
    <w:rsid w:val="453942C3"/>
    <w:rsid w:val="454278F8"/>
    <w:rsid w:val="454B2248"/>
    <w:rsid w:val="454D612E"/>
    <w:rsid w:val="45521829"/>
    <w:rsid w:val="45525385"/>
    <w:rsid w:val="45592BB7"/>
    <w:rsid w:val="455F7AA2"/>
    <w:rsid w:val="45633A36"/>
    <w:rsid w:val="456A0921"/>
    <w:rsid w:val="4574179F"/>
    <w:rsid w:val="45773D67"/>
    <w:rsid w:val="45815C6A"/>
    <w:rsid w:val="45991206"/>
    <w:rsid w:val="459B4F7E"/>
    <w:rsid w:val="459E61AA"/>
    <w:rsid w:val="45AF7874"/>
    <w:rsid w:val="45BB73CE"/>
    <w:rsid w:val="45BD0E95"/>
    <w:rsid w:val="45C21F3E"/>
    <w:rsid w:val="45CD7101"/>
    <w:rsid w:val="45DE130F"/>
    <w:rsid w:val="45DE30BD"/>
    <w:rsid w:val="45EE1AFF"/>
    <w:rsid w:val="45F428E0"/>
    <w:rsid w:val="45FD1795"/>
    <w:rsid w:val="46001AF9"/>
    <w:rsid w:val="46004DE1"/>
    <w:rsid w:val="460123B2"/>
    <w:rsid w:val="46094FCA"/>
    <w:rsid w:val="460F771A"/>
    <w:rsid w:val="46162856"/>
    <w:rsid w:val="461D1E37"/>
    <w:rsid w:val="462D6C1B"/>
    <w:rsid w:val="46396545"/>
    <w:rsid w:val="464C6278"/>
    <w:rsid w:val="46572CEA"/>
    <w:rsid w:val="46601D24"/>
    <w:rsid w:val="46641814"/>
    <w:rsid w:val="466760C1"/>
    <w:rsid w:val="46690BD8"/>
    <w:rsid w:val="4669318B"/>
    <w:rsid w:val="466B2BA2"/>
    <w:rsid w:val="46724F2F"/>
    <w:rsid w:val="46780E1B"/>
    <w:rsid w:val="468D5AAF"/>
    <w:rsid w:val="46933EA7"/>
    <w:rsid w:val="46965745"/>
    <w:rsid w:val="469B0FAE"/>
    <w:rsid w:val="46A04C6D"/>
    <w:rsid w:val="46AB7443"/>
    <w:rsid w:val="46B1432D"/>
    <w:rsid w:val="46BF6A4A"/>
    <w:rsid w:val="46C73B51"/>
    <w:rsid w:val="46CD560B"/>
    <w:rsid w:val="46CE3131"/>
    <w:rsid w:val="46CE77DF"/>
    <w:rsid w:val="46D36999"/>
    <w:rsid w:val="46F72688"/>
    <w:rsid w:val="47030569"/>
    <w:rsid w:val="470D3C59"/>
    <w:rsid w:val="472703A0"/>
    <w:rsid w:val="472D42FC"/>
    <w:rsid w:val="47372A84"/>
    <w:rsid w:val="473A2575"/>
    <w:rsid w:val="473A4323"/>
    <w:rsid w:val="4740402F"/>
    <w:rsid w:val="474D04FA"/>
    <w:rsid w:val="474F4272"/>
    <w:rsid w:val="47504913"/>
    <w:rsid w:val="47573505"/>
    <w:rsid w:val="476870E2"/>
    <w:rsid w:val="477A6E15"/>
    <w:rsid w:val="477E09F4"/>
    <w:rsid w:val="478832E0"/>
    <w:rsid w:val="478A3743"/>
    <w:rsid w:val="4796216E"/>
    <w:rsid w:val="479A6CE9"/>
    <w:rsid w:val="479B1CA5"/>
    <w:rsid w:val="479F5846"/>
    <w:rsid w:val="47A345BE"/>
    <w:rsid w:val="47A44213"/>
    <w:rsid w:val="47AD4F03"/>
    <w:rsid w:val="47B136C8"/>
    <w:rsid w:val="47B440D5"/>
    <w:rsid w:val="47B95B8F"/>
    <w:rsid w:val="47CA56A6"/>
    <w:rsid w:val="47CA7D9C"/>
    <w:rsid w:val="47E2084E"/>
    <w:rsid w:val="47E901A7"/>
    <w:rsid w:val="47ED5839"/>
    <w:rsid w:val="47F210A1"/>
    <w:rsid w:val="47FD3CCE"/>
    <w:rsid w:val="47FE7A46"/>
    <w:rsid w:val="480A63EB"/>
    <w:rsid w:val="48141018"/>
    <w:rsid w:val="48147269"/>
    <w:rsid w:val="481B03C9"/>
    <w:rsid w:val="481B05F8"/>
    <w:rsid w:val="4825500D"/>
    <w:rsid w:val="482A4397"/>
    <w:rsid w:val="482D208F"/>
    <w:rsid w:val="4855065A"/>
    <w:rsid w:val="48591F5E"/>
    <w:rsid w:val="485E04E5"/>
    <w:rsid w:val="4860600B"/>
    <w:rsid w:val="48644BB4"/>
    <w:rsid w:val="48651873"/>
    <w:rsid w:val="48657AC5"/>
    <w:rsid w:val="48734A9B"/>
    <w:rsid w:val="4884619D"/>
    <w:rsid w:val="488D240B"/>
    <w:rsid w:val="488E0DCA"/>
    <w:rsid w:val="48937013"/>
    <w:rsid w:val="48967C7F"/>
    <w:rsid w:val="489B7043"/>
    <w:rsid w:val="489D642B"/>
    <w:rsid w:val="489E30D7"/>
    <w:rsid w:val="48A028AB"/>
    <w:rsid w:val="48A56518"/>
    <w:rsid w:val="48C647DB"/>
    <w:rsid w:val="48D20D16"/>
    <w:rsid w:val="48EC789E"/>
    <w:rsid w:val="48F21359"/>
    <w:rsid w:val="48F51A16"/>
    <w:rsid w:val="4900334A"/>
    <w:rsid w:val="4901159C"/>
    <w:rsid w:val="490E3CB9"/>
    <w:rsid w:val="49221512"/>
    <w:rsid w:val="493504C2"/>
    <w:rsid w:val="493C5C3D"/>
    <w:rsid w:val="49415E3C"/>
    <w:rsid w:val="49423962"/>
    <w:rsid w:val="49431BB4"/>
    <w:rsid w:val="49463453"/>
    <w:rsid w:val="496A4D0B"/>
    <w:rsid w:val="496D6C31"/>
    <w:rsid w:val="496F65E0"/>
    <w:rsid w:val="49725FF6"/>
    <w:rsid w:val="497A134E"/>
    <w:rsid w:val="498134E7"/>
    <w:rsid w:val="49830203"/>
    <w:rsid w:val="49885819"/>
    <w:rsid w:val="498875C7"/>
    <w:rsid w:val="49A272E3"/>
    <w:rsid w:val="49A42C3D"/>
    <w:rsid w:val="49A47292"/>
    <w:rsid w:val="49A563CB"/>
    <w:rsid w:val="49AA39E1"/>
    <w:rsid w:val="49BA174B"/>
    <w:rsid w:val="49CC1211"/>
    <w:rsid w:val="49D24CE6"/>
    <w:rsid w:val="49DF575F"/>
    <w:rsid w:val="49DF5B29"/>
    <w:rsid w:val="49EE6E87"/>
    <w:rsid w:val="49EF4C86"/>
    <w:rsid w:val="49F11610"/>
    <w:rsid w:val="49F509D5"/>
    <w:rsid w:val="49FD6207"/>
    <w:rsid w:val="4A001853"/>
    <w:rsid w:val="4A1A47F4"/>
    <w:rsid w:val="4A1C53BF"/>
    <w:rsid w:val="4A20402D"/>
    <w:rsid w:val="4A2117CA"/>
    <w:rsid w:val="4A2A68D0"/>
    <w:rsid w:val="4A3D2AA8"/>
    <w:rsid w:val="4A435BE4"/>
    <w:rsid w:val="4A4A212F"/>
    <w:rsid w:val="4A4B7699"/>
    <w:rsid w:val="4A527BD5"/>
    <w:rsid w:val="4A534079"/>
    <w:rsid w:val="4A653DAC"/>
    <w:rsid w:val="4A754E17"/>
    <w:rsid w:val="4A977E5D"/>
    <w:rsid w:val="4A9B7AED"/>
    <w:rsid w:val="4AA76173"/>
    <w:rsid w:val="4ABA117A"/>
    <w:rsid w:val="4AC130EB"/>
    <w:rsid w:val="4AC5779A"/>
    <w:rsid w:val="4AC72144"/>
    <w:rsid w:val="4ADF3B5F"/>
    <w:rsid w:val="4AE632DA"/>
    <w:rsid w:val="4AE90539"/>
    <w:rsid w:val="4AF64A04"/>
    <w:rsid w:val="4AF73F53"/>
    <w:rsid w:val="4AFF5FAF"/>
    <w:rsid w:val="4B0B6702"/>
    <w:rsid w:val="4B1F18FF"/>
    <w:rsid w:val="4B2937C8"/>
    <w:rsid w:val="4B321018"/>
    <w:rsid w:val="4B3317B5"/>
    <w:rsid w:val="4B35552D"/>
    <w:rsid w:val="4B3D2633"/>
    <w:rsid w:val="4B471525"/>
    <w:rsid w:val="4B481704"/>
    <w:rsid w:val="4B534731"/>
    <w:rsid w:val="4B550087"/>
    <w:rsid w:val="4B5F07FC"/>
    <w:rsid w:val="4B6151A0"/>
    <w:rsid w:val="4B6776B0"/>
    <w:rsid w:val="4B6B53F2"/>
    <w:rsid w:val="4B6D51B9"/>
    <w:rsid w:val="4B700C5B"/>
    <w:rsid w:val="4B75001F"/>
    <w:rsid w:val="4B75264A"/>
    <w:rsid w:val="4B7E7D72"/>
    <w:rsid w:val="4B8A461C"/>
    <w:rsid w:val="4BB5666E"/>
    <w:rsid w:val="4BB87F0C"/>
    <w:rsid w:val="4BBC79FC"/>
    <w:rsid w:val="4BC56B3C"/>
    <w:rsid w:val="4BDC698D"/>
    <w:rsid w:val="4BE156B5"/>
    <w:rsid w:val="4BE17463"/>
    <w:rsid w:val="4BE4292A"/>
    <w:rsid w:val="4BE8458F"/>
    <w:rsid w:val="4BEC3C0D"/>
    <w:rsid w:val="4BF124B3"/>
    <w:rsid w:val="4BF52F0E"/>
    <w:rsid w:val="4C001D6D"/>
    <w:rsid w:val="4C0118B3"/>
    <w:rsid w:val="4C0647B3"/>
    <w:rsid w:val="4C0F5D7E"/>
    <w:rsid w:val="4C1635B0"/>
    <w:rsid w:val="4C172E84"/>
    <w:rsid w:val="4C313A81"/>
    <w:rsid w:val="4C324162"/>
    <w:rsid w:val="4C327CBE"/>
    <w:rsid w:val="4C342175"/>
    <w:rsid w:val="4C343AF5"/>
    <w:rsid w:val="4C3457E4"/>
    <w:rsid w:val="4C41508C"/>
    <w:rsid w:val="4C580E93"/>
    <w:rsid w:val="4C5F42DF"/>
    <w:rsid w:val="4C611B1B"/>
    <w:rsid w:val="4C6836E0"/>
    <w:rsid w:val="4C6853AB"/>
    <w:rsid w:val="4C720BE2"/>
    <w:rsid w:val="4C793B3F"/>
    <w:rsid w:val="4C847D2F"/>
    <w:rsid w:val="4C8D1398"/>
    <w:rsid w:val="4C96024D"/>
    <w:rsid w:val="4CA80FE3"/>
    <w:rsid w:val="4CB041A4"/>
    <w:rsid w:val="4CBD57DA"/>
    <w:rsid w:val="4CC052CA"/>
    <w:rsid w:val="4CCE1CCF"/>
    <w:rsid w:val="4CE06773"/>
    <w:rsid w:val="4CF3744D"/>
    <w:rsid w:val="4D0C0239"/>
    <w:rsid w:val="4D113D78"/>
    <w:rsid w:val="4D1B0752"/>
    <w:rsid w:val="4D3335ED"/>
    <w:rsid w:val="4D4C5386"/>
    <w:rsid w:val="4D605492"/>
    <w:rsid w:val="4D626381"/>
    <w:rsid w:val="4D654866"/>
    <w:rsid w:val="4D6644FB"/>
    <w:rsid w:val="4D6C5659"/>
    <w:rsid w:val="4D6C7200"/>
    <w:rsid w:val="4D844549"/>
    <w:rsid w:val="4D87403A"/>
    <w:rsid w:val="4D8D78A2"/>
    <w:rsid w:val="4D924008"/>
    <w:rsid w:val="4D9C5D37"/>
    <w:rsid w:val="4DAB5F7A"/>
    <w:rsid w:val="4DB72B71"/>
    <w:rsid w:val="4DB90697"/>
    <w:rsid w:val="4DBA6108"/>
    <w:rsid w:val="4DBD7A5B"/>
    <w:rsid w:val="4DE1199C"/>
    <w:rsid w:val="4DEE6977"/>
    <w:rsid w:val="4DF47A91"/>
    <w:rsid w:val="4DF66033"/>
    <w:rsid w:val="4E031912"/>
    <w:rsid w:val="4E0538DC"/>
    <w:rsid w:val="4E1A4EAE"/>
    <w:rsid w:val="4E1E674C"/>
    <w:rsid w:val="4E257ADB"/>
    <w:rsid w:val="4E330E37"/>
    <w:rsid w:val="4E3350C5"/>
    <w:rsid w:val="4E3C3076"/>
    <w:rsid w:val="4E4D7031"/>
    <w:rsid w:val="4E4E16AF"/>
    <w:rsid w:val="4E4F2DA9"/>
    <w:rsid w:val="4E54216E"/>
    <w:rsid w:val="4E6A7577"/>
    <w:rsid w:val="4E6C395B"/>
    <w:rsid w:val="4E7E368F"/>
    <w:rsid w:val="4E824F2D"/>
    <w:rsid w:val="4E8A2033"/>
    <w:rsid w:val="4E8C71C7"/>
    <w:rsid w:val="4E99364D"/>
    <w:rsid w:val="4EA01857"/>
    <w:rsid w:val="4EA330F5"/>
    <w:rsid w:val="4EB371A8"/>
    <w:rsid w:val="4EBB3F9B"/>
    <w:rsid w:val="4ED60DD5"/>
    <w:rsid w:val="4EDE5EDB"/>
    <w:rsid w:val="4EDF1751"/>
    <w:rsid w:val="4EE71234"/>
    <w:rsid w:val="4EEA4880"/>
    <w:rsid w:val="4EEF00E8"/>
    <w:rsid w:val="4EFF2B93"/>
    <w:rsid w:val="4F067FC3"/>
    <w:rsid w:val="4F0911AA"/>
    <w:rsid w:val="4F277882"/>
    <w:rsid w:val="4F29269C"/>
    <w:rsid w:val="4F2C30EB"/>
    <w:rsid w:val="4F3124AF"/>
    <w:rsid w:val="4F3B1580"/>
    <w:rsid w:val="4F495A4B"/>
    <w:rsid w:val="4F50502B"/>
    <w:rsid w:val="4F581781"/>
    <w:rsid w:val="4F5D5052"/>
    <w:rsid w:val="4F653170"/>
    <w:rsid w:val="4F7D56F4"/>
    <w:rsid w:val="4F844CD5"/>
    <w:rsid w:val="4F8C5937"/>
    <w:rsid w:val="4F8E5B53"/>
    <w:rsid w:val="4F932EF4"/>
    <w:rsid w:val="4F9F566B"/>
    <w:rsid w:val="4FA90297"/>
    <w:rsid w:val="4FB03D60"/>
    <w:rsid w:val="4FBA24A4"/>
    <w:rsid w:val="4FBF3F5F"/>
    <w:rsid w:val="4FD25A40"/>
    <w:rsid w:val="4FD317B8"/>
    <w:rsid w:val="4FD5108C"/>
    <w:rsid w:val="4FE13ED5"/>
    <w:rsid w:val="4FE87012"/>
    <w:rsid w:val="4FEB2864"/>
    <w:rsid w:val="4FEC63D6"/>
    <w:rsid w:val="4FFB344C"/>
    <w:rsid w:val="4FFB64F2"/>
    <w:rsid w:val="4FFD5402"/>
    <w:rsid w:val="50002535"/>
    <w:rsid w:val="5003209D"/>
    <w:rsid w:val="50096F88"/>
    <w:rsid w:val="50106568"/>
    <w:rsid w:val="50125E3D"/>
    <w:rsid w:val="50241A99"/>
    <w:rsid w:val="5032028D"/>
    <w:rsid w:val="5039786D"/>
    <w:rsid w:val="50446212"/>
    <w:rsid w:val="504A12BE"/>
    <w:rsid w:val="504C0B00"/>
    <w:rsid w:val="50574197"/>
    <w:rsid w:val="5060304C"/>
    <w:rsid w:val="50621A3A"/>
    <w:rsid w:val="506863A4"/>
    <w:rsid w:val="5080549C"/>
    <w:rsid w:val="50901457"/>
    <w:rsid w:val="509030C6"/>
    <w:rsid w:val="50936F94"/>
    <w:rsid w:val="509947B0"/>
    <w:rsid w:val="509E1CAB"/>
    <w:rsid w:val="50A33062"/>
    <w:rsid w:val="50A82954"/>
    <w:rsid w:val="50A95329"/>
    <w:rsid w:val="50B74C46"/>
    <w:rsid w:val="50C35389"/>
    <w:rsid w:val="50C80BF1"/>
    <w:rsid w:val="50CF3D2E"/>
    <w:rsid w:val="50DC4BAE"/>
    <w:rsid w:val="50EC48E0"/>
    <w:rsid w:val="50ED0658"/>
    <w:rsid w:val="50EE68AA"/>
    <w:rsid w:val="50F1639A"/>
    <w:rsid w:val="50F6750C"/>
    <w:rsid w:val="51025EB1"/>
    <w:rsid w:val="513070BC"/>
    <w:rsid w:val="51324B68"/>
    <w:rsid w:val="5139389D"/>
    <w:rsid w:val="513C33CE"/>
    <w:rsid w:val="514D7E89"/>
    <w:rsid w:val="51521611"/>
    <w:rsid w:val="516C3C72"/>
    <w:rsid w:val="516E01AD"/>
    <w:rsid w:val="517A013D"/>
    <w:rsid w:val="51823496"/>
    <w:rsid w:val="51830237"/>
    <w:rsid w:val="518413A9"/>
    <w:rsid w:val="519D035B"/>
    <w:rsid w:val="51B318A1"/>
    <w:rsid w:val="51BC3D81"/>
    <w:rsid w:val="51BC69A8"/>
    <w:rsid w:val="51C8534D"/>
    <w:rsid w:val="51C94C21"/>
    <w:rsid w:val="51D81308"/>
    <w:rsid w:val="51EE415F"/>
    <w:rsid w:val="51F223CA"/>
    <w:rsid w:val="51F7178E"/>
    <w:rsid w:val="51FD48CA"/>
    <w:rsid w:val="5205693A"/>
    <w:rsid w:val="521C2FA3"/>
    <w:rsid w:val="52205820"/>
    <w:rsid w:val="522D51B0"/>
    <w:rsid w:val="52350508"/>
    <w:rsid w:val="524D13AE"/>
    <w:rsid w:val="52541EE0"/>
    <w:rsid w:val="525B3FFE"/>
    <w:rsid w:val="525E5B3C"/>
    <w:rsid w:val="526302BF"/>
    <w:rsid w:val="526B7D54"/>
    <w:rsid w:val="526C65B3"/>
    <w:rsid w:val="526D37FE"/>
    <w:rsid w:val="52794E7B"/>
    <w:rsid w:val="527C7EE5"/>
    <w:rsid w:val="527E5A0B"/>
    <w:rsid w:val="528C7AA2"/>
    <w:rsid w:val="528E7D93"/>
    <w:rsid w:val="529945F3"/>
    <w:rsid w:val="52A511EA"/>
    <w:rsid w:val="52D11AE6"/>
    <w:rsid w:val="52D7511B"/>
    <w:rsid w:val="52D84896"/>
    <w:rsid w:val="52D84A05"/>
    <w:rsid w:val="52E141EC"/>
    <w:rsid w:val="52EA4E4F"/>
    <w:rsid w:val="52EB05A3"/>
    <w:rsid w:val="52F061DD"/>
    <w:rsid w:val="52F61A46"/>
    <w:rsid w:val="5302429D"/>
    <w:rsid w:val="53032F5F"/>
    <w:rsid w:val="53035F10"/>
    <w:rsid w:val="53095C1D"/>
    <w:rsid w:val="53144E64"/>
    <w:rsid w:val="531B47D3"/>
    <w:rsid w:val="53223DDF"/>
    <w:rsid w:val="53310CD0"/>
    <w:rsid w:val="533F07AB"/>
    <w:rsid w:val="53475632"/>
    <w:rsid w:val="536F35A6"/>
    <w:rsid w:val="538B4884"/>
    <w:rsid w:val="538C4158"/>
    <w:rsid w:val="538E1C7E"/>
    <w:rsid w:val="5391176E"/>
    <w:rsid w:val="53A476F3"/>
    <w:rsid w:val="53AA0AD4"/>
    <w:rsid w:val="53AA6E0E"/>
    <w:rsid w:val="53AB0A82"/>
    <w:rsid w:val="53B23C09"/>
    <w:rsid w:val="53B4545D"/>
    <w:rsid w:val="53B537B4"/>
    <w:rsid w:val="53BE40A3"/>
    <w:rsid w:val="53C51418"/>
    <w:rsid w:val="53E61ABA"/>
    <w:rsid w:val="53F24649"/>
    <w:rsid w:val="54085ED4"/>
    <w:rsid w:val="54270825"/>
    <w:rsid w:val="543842E0"/>
    <w:rsid w:val="54493F61"/>
    <w:rsid w:val="544A2D9F"/>
    <w:rsid w:val="54505070"/>
    <w:rsid w:val="545C3B2A"/>
    <w:rsid w:val="54754BEC"/>
    <w:rsid w:val="54790B80"/>
    <w:rsid w:val="54857525"/>
    <w:rsid w:val="548D19E4"/>
    <w:rsid w:val="5495703C"/>
    <w:rsid w:val="54B43966"/>
    <w:rsid w:val="54C07A41"/>
    <w:rsid w:val="54CD2C7A"/>
    <w:rsid w:val="54CE5205"/>
    <w:rsid w:val="54DF7A42"/>
    <w:rsid w:val="54ED50D6"/>
    <w:rsid w:val="54F00CE8"/>
    <w:rsid w:val="54F71AA5"/>
    <w:rsid w:val="54FC4C28"/>
    <w:rsid w:val="55055F70"/>
    <w:rsid w:val="550D3076"/>
    <w:rsid w:val="5512068D"/>
    <w:rsid w:val="551C775D"/>
    <w:rsid w:val="55222FC6"/>
    <w:rsid w:val="55326F81"/>
    <w:rsid w:val="554C0043"/>
    <w:rsid w:val="555F1BC3"/>
    <w:rsid w:val="5560764A"/>
    <w:rsid w:val="5563097D"/>
    <w:rsid w:val="556F1F83"/>
    <w:rsid w:val="557A3A5B"/>
    <w:rsid w:val="55805F3E"/>
    <w:rsid w:val="558477DD"/>
    <w:rsid w:val="55894DF3"/>
    <w:rsid w:val="5591748A"/>
    <w:rsid w:val="559D264C"/>
    <w:rsid w:val="55A90FF1"/>
    <w:rsid w:val="55BA1450"/>
    <w:rsid w:val="55BA31FE"/>
    <w:rsid w:val="55C23CF8"/>
    <w:rsid w:val="55C23E61"/>
    <w:rsid w:val="55CF47D0"/>
    <w:rsid w:val="55D1679A"/>
    <w:rsid w:val="55D30B56"/>
    <w:rsid w:val="55D45A80"/>
    <w:rsid w:val="55DC6D24"/>
    <w:rsid w:val="55FA7A9F"/>
    <w:rsid w:val="56052390"/>
    <w:rsid w:val="560572BC"/>
    <w:rsid w:val="560B5B9C"/>
    <w:rsid w:val="560C1580"/>
    <w:rsid w:val="561E17E0"/>
    <w:rsid w:val="56217A7F"/>
    <w:rsid w:val="562C577E"/>
    <w:rsid w:val="563F7F4B"/>
    <w:rsid w:val="565A678F"/>
    <w:rsid w:val="565B0081"/>
    <w:rsid w:val="56674A08"/>
    <w:rsid w:val="56772E9D"/>
    <w:rsid w:val="567C04B4"/>
    <w:rsid w:val="56821842"/>
    <w:rsid w:val="56925F29"/>
    <w:rsid w:val="569A3030"/>
    <w:rsid w:val="56A502CA"/>
    <w:rsid w:val="56A812A9"/>
    <w:rsid w:val="56AD12F0"/>
    <w:rsid w:val="56B440F1"/>
    <w:rsid w:val="56E00165"/>
    <w:rsid w:val="56E12A0D"/>
    <w:rsid w:val="56F460A7"/>
    <w:rsid w:val="570109B9"/>
    <w:rsid w:val="57016C0B"/>
    <w:rsid w:val="57033262"/>
    <w:rsid w:val="57044B1F"/>
    <w:rsid w:val="57081D47"/>
    <w:rsid w:val="5712700E"/>
    <w:rsid w:val="571701DC"/>
    <w:rsid w:val="571C3A45"/>
    <w:rsid w:val="57200F53"/>
    <w:rsid w:val="57234DD3"/>
    <w:rsid w:val="57236B81"/>
    <w:rsid w:val="57272B15"/>
    <w:rsid w:val="57295295"/>
    <w:rsid w:val="572A7F10"/>
    <w:rsid w:val="573568B4"/>
    <w:rsid w:val="57407733"/>
    <w:rsid w:val="5748483A"/>
    <w:rsid w:val="575256B8"/>
    <w:rsid w:val="57572CCF"/>
    <w:rsid w:val="575E405D"/>
    <w:rsid w:val="576C64D8"/>
    <w:rsid w:val="576C677A"/>
    <w:rsid w:val="577E281D"/>
    <w:rsid w:val="57803FD4"/>
    <w:rsid w:val="5789593A"/>
    <w:rsid w:val="578C2978"/>
    <w:rsid w:val="5798124F"/>
    <w:rsid w:val="579C375F"/>
    <w:rsid w:val="579D5E4C"/>
    <w:rsid w:val="579D6934"/>
    <w:rsid w:val="579E26AC"/>
    <w:rsid w:val="57A6018E"/>
    <w:rsid w:val="57AF48B9"/>
    <w:rsid w:val="57C37F50"/>
    <w:rsid w:val="57E5652D"/>
    <w:rsid w:val="57EC3417"/>
    <w:rsid w:val="57EF1159"/>
    <w:rsid w:val="57F655B7"/>
    <w:rsid w:val="57FF75EE"/>
    <w:rsid w:val="581B3CFC"/>
    <w:rsid w:val="581F1A3E"/>
    <w:rsid w:val="582A3F3F"/>
    <w:rsid w:val="582E57DE"/>
    <w:rsid w:val="58340F45"/>
    <w:rsid w:val="583C439E"/>
    <w:rsid w:val="583D3C73"/>
    <w:rsid w:val="58443E11"/>
    <w:rsid w:val="585039A6"/>
    <w:rsid w:val="58515970"/>
    <w:rsid w:val="58523BC2"/>
    <w:rsid w:val="58676F42"/>
    <w:rsid w:val="586841E7"/>
    <w:rsid w:val="5870229A"/>
    <w:rsid w:val="58706BE0"/>
    <w:rsid w:val="587549BB"/>
    <w:rsid w:val="587578B0"/>
    <w:rsid w:val="588C15CC"/>
    <w:rsid w:val="589A7317"/>
    <w:rsid w:val="58AE4B70"/>
    <w:rsid w:val="58B62EEE"/>
    <w:rsid w:val="58BC728D"/>
    <w:rsid w:val="58D8399B"/>
    <w:rsid w:val="58E3481A"/>
    <w:rsid w:val="58E67940"/>
    <w:rsid w:val="58F307D5"/>
    <w:rsid w:val="58F44C79"/>
    <w:rsid w:val="59073EE9"/>
    <w:rsid w:val="590B1FC3"/>
    <w:rsid w:val="590D7AE9"/>
    <w:rsid w:val="59140E77"/>
    <w:rsid w:val="5919008D"/>
    <w:rsid w:val="59361E6C"/>
    <w:rsid w:val="593E7CA2"/>
    <w:rsid w:val="59413C36"/>
    <w:rsid w:val="59745DBA"/>
    <w:rsid w:val="598F04FE"/>
    <w:rsid w:val="59976097"/>
    <w:rsid w:val="59985972"/>
    <w:rsid w:val="59A71CEC"/>
    <w:rsid w:val="59B241EC"/>
    <w:rsid w:val="59B876A0"/>
    <w:rsid w:val="59B94D25"/>
    <w:rsid w:val="59C25055"/>
    <w:rsid w:val="59C363FA"/>
    <w:rsid w:val="59E20F76"/>
    <w:rsid w:val="59E3084A"/>
    <w:rsid w:val="59F34F31"/>
    <w:rsid w:val="59F9370B"/>
    <w:rsid w:val="59FA62BF"/>
    <w:rsid w:val="5A1629CD"/>
    <w:rsid w:val="5A1841E6"/>
    <w:rsid w:val="5A2B0D96"/>
    <w:rsid w:val="5A3141A2"/>
    <w:rsid w:val="5A3A2B60"/>
    <w:rsid w:val="5A3A490E"/>
    <w:rsid w:val="5A513A05"/>
    <w:rsid w:val="5A5E3FF6"/>
    <w:rsid w:val="5A680661"/>
    <w:rsid w:val="5A6E0A5B"/>
    <w:rsid w:val="5A6E45B7"/>
    <w:rsid w:val="5A7616BE"/>
    <w:rsid w:val="5A785436"/>
    <w:rsid w:val="5A867555"/>
    <w:rsid w:val="5A8D7133"/>
    <w:rsid w:val="5A8E79A0"/>
    <w:rsid w:val="5A8F75D3"/>
    <w:rsid w:val="5A9528D2"/>
    <w:rsid w:val="5A9A35FE"/>
    <w:rsid w:val="5AB230A3"/>
    <w:rsid w:val="5AC71F19"/>
    <w:rsid w:val="5ACD1696"/>
    <w:rsid w:val="5AE64A95"/>
    <w:rsid w:val="5AEA2712"/>
    <w:rsid w:val="5AF50835"/>
    <w:rsid w:val="5AFC6067"/>
    <w:rsid w:val="5B0B1856"/>
    <w:rsid w:val="5B1433B1"/>
    <w:rsid w:val="5B264E92"/>
    <w:rsid w:val="5B3D25E5"/>
    <w:rsid w:val="5B3F7951"/>
    <w:rsid w:val="5B523C40"/>
    <w:rsid w:val="5B5437AD"/>
    <w:rsid w:val="5B5C6B06"/>
    <w:rsid w:val="5B6559BA"/>
    <w:rsid w:val="5B6634E0"/>
    <w:rsid w:val="5B7B4919"/>
    <w:rsid w:val="5B7F45A2"/>
    <w:rsid w:val="5B8322E4"/>
    <w:rsid w:val="5BA02E96"/>
    <w:rsid w:val="5BA02FD8"/>
    <w:rsid w:val="5BA34735"/>
    <w:rsid w:val="5BC326E1"/>
    <w:rsid w:val="5BD20B76"/>
    <w:rsid w:val="5BE30FD5"/>
    <w:rsid w:val="5BF60D08"/>
    <w:rsid w:val="5BFB00CD"/>
    <w:rsid w:val="5BFC5BF3"/>
    <w:rsid w:val="5C095073"/>
    <w:rsid w:val="5C0B7C0B"/>
    <w:rsid w:val="5C0D7C82"/>
    <w:rsid w:val="5C0F5D40"/>
    <w:rsid w:val="5C221AFD"/>
    <w:rsid w:val="5C2D3FFE"/>
    <w:rsid w:val="5C361105"/>
    <w:rsid w:val="5C4B1054"/>
    <w:rsid w:val="5C4D4754"/>
    <w:rsid w:val="5C653FAA"/>
    <w:rsid w:val="5C741C2D"/>
    <w:rsid w:val="5C7647DF"/>
    <w:rsid w:val="5C7774C0"/>
    <w:rsid w:val="5C7B745F"/>
    <w:rsid w:val="5C814A76"/>
    <w:rsid w:val="5C861E69"/>
    <w:rsid w:val="5C8C6F77"/>
    <w:rsid w:val="5C9F4EFC"/>
    <w:rsid w:val="5CA42512"/>
    <w:rsid w:val="5CAE75C8"/>
    <w:rsid w:val="5CB70498"/>
    <w:rsid w:val="5CC928B9"/>
    <w:rsid w:val="5CCB1FD5"/>
    <w:rsid w:val="5CD01559"/>
    <w:rsid w:val="5CE943C9"/>
    <w:rsid w:val="5CEF3267"/>
    <w:rsid w:val="5CF52A39"/>
    <w:rsid w:val="5D0465CF"/>
    <w:rsid w:val="5D072AA1"/>
    <w:rsid w:val="5D14497D"/>
    <w:rsid w:val="5D166D00"/>
    <w:rsid w:val="5D170F36"/>
    <w:rsid w:val="5D1F6EC2"/>
    <w:rsid w:val="5D221689"/>
    <w:rsid w:val="5D2D075A"/>
    <w:rsid w:val="5D325D70"/>
    <w:rsid w:val="5D3C6BEF"/>
    <w:rsid w:val="5D435D1D"/>
    <w:rsid w:val="5D465377"/>
    <w:rsid w:val="5D4B5084"/>
    <w:rsid w:val="5D4F36E6"/>
    <w:rsid w:val="5D543F38"/>
    <w:rsid w:val="5D640E60"/>
    <w:rsid w:val="5D661775"/>
    <w:rsid w:val="5D73229D"/>
    <w:rsid w:val="5D7B4737"/>
    <w:rsid w:val="5D885990"/>
    <w:rsid w:val="5D890870"/>
    <w:rsid w:val="5D8D4300"/>
    <w:rsid w:val="5DA36C6E"/>
    <w:rsid w:val="5DA54794"/>
    <w:rsid w:val="5DB073BD"/>
    <w:rsid w:val="5DBE7604"/>
    <w:rsid w:val="5DCE50B6"/>
    <w:rsid w:val="5DD45079"/>
    <w:rsid w:val="5DD673D5"/>
    <w:rsid w:val="5DDB01B6"/>
    <w:rsid w:val="5DF64961"/>
    <w:rsid w:val="5DF97F89"/>
    <w:rsid w:val="5E082DC8"/>
    <w:rsid w:val="5E0D2339"/>
    <w:rsid w:val="5E0E058B"/>
    <w:rsid w:val="5E102C5C"/>
    <w:rsid w:val="5E14191A"/>
    <w:rsid w:val="5E15681E"/>
    <w:rsid w:val="5E1E62F4"/>
    <w:rsid w:val="5E202D14"/>
    <w:rsid w:val="5E225DE5"/>
    <w:rsid w:val="5E231B5D"/>
    <w:rsid w:val="5E2558D5"/>
    <w:rsid w:val="5E2733FB"/>
    <w:rsid w:val="5E2751A9"/>
    <w:rsid w:val="5E2C4F8C"/>
    <w:rsid w:val="5E323B4E"/>
    <w:rsid w:val="5E330BEE"/>
    <w:rsid w:val="5E36363E"/>
    <w:rsid w:val="5E3D2B17"/>
    <w:rsid w:val="5E4044BD"/>
    <w:rsid w:val="5E451AD3"/>
    <w:rsid w:val="5E47584B"/>
    <w:rsid w:val="5E502B8B"/>
    <w:rsid w:val="5E671A49"/>
    <w:rsid w:val="5E761892"/>
    <w:rsid w:val="5E7D126D"/>
    <w:rsid w:val="5E7D301B"/>
    <w:rsid w:val="5E81091C"/>
    <w:rsid w:val="5E8F4972"/>
    <w:rsid w:val="5E9842F9"/>
    <w:rsid w:val="5EA44A4C"/>
    <w:rsid w:val="5EBA601D"/>
    <w:rsid w:val="5EBF3633"/>
    <w:rsid w:val="5EC7698C"/>
    <w:rsid w:val="5EC87CEE"/>
    <w:rsid w:val="5ECA1FD8"/>
    <w:rsid w:val="5ED03A93"/>
    <w:rsid w:val="5EDD0246"/>
    <w:rsid w:val="5EE17A4E"/>
    <w:rsid w:val="5EE41948"/>
    <w:rsid w:val="5EE64171"/>
    <w:rsid w:val="5EE72B8A"/>
    <w:rsid w:val="5EF17565"/>
    <w:rsid w:val="5EF7101F"/>
    <w:rsid w:val="5EFD415C"/>
    <w:rsid w:val="5F13397F"/>
    <w:rsid w:val="5F145ECB"/>
    <w:rsid w:val="5F155949"/>
    <w:rsid w:val="5F166FCB"/>
    <w:rsid w:val="5F3758FE"/>
    <w:rsid w:val="5F4367A0"/>
    <w:rsid w:val="5F585836"/>
    <w:rsid w:val="5F795653"/>
    <w:rsid w:val="5F8D54E0"/>
    <w:rsid w:val="5F8F1CD2"/>
    <w:rsid w:val="5FA647F3"/>
    <w:rsid w:val="5FA77C77"/>
    <w:rsid w:val="5FAB1E0A"/>
    <w:rsid w:val="5FB213EA"/>
    <w:rsid w:val="5FB76A00"/>
    <w:rsid w:val="5FCB1BCC"/>
    <w:rsid w:val="5FD21144"/>
    <w:rsid w:val="5FDB26EF"/>
    <w:rsid w:val="5FE02FB1"/>
    <w:rsid w:val="5FE86BBA"/>
    <w:rsid w:val="5FF94923"/>
    <w:rsid w:val="601D5BCF"/>
    <w:rsid w:val="60283C77"/>
    <w:rsid w:val="602A71D2"/>
    <w:rsid w:val="603911C4"/>
    <w:rsid w:val="604069F6"/>
    <w:rsid w:val="60487659"/>
    <w:rsid w:val="60583D40"/>
    <w:rsid w:val="60587649"/>
    <w:rsid w:val="605C4EB2"/>
    <w:rsid w:val="606A623C"/>
    <w:rsid w:val="60705FA0"/>
    <w:rsid w:val="6074044E"/>
    <w:rsid w:val="607B7A2E"/>
    <w:rsid w:val="60817B6A"/>
    <w:rsid w:val="609321B6"/>
    <w:rsid w:val="60A76A75"/>
    <w:rsid w:val="60BB3DF4"/>
    <w:rsid w:val="60BD1DF5"/>
    <w:rsid w:val="60C74A21"/>
    <w:rsid w:val="60E23609"/>
    <w:rsid w:val="60E92BEA"/>
    <w:rsid w:val="60EC4488"/>
    <w:rsid w:val="60EF0A8D"/>
    <w:rsid w:val="60F4333C"/>
    <w:rsid w:val="60F8107F"/>
    <w:rsid w:val="60FA6BA5"/>
    <w:rsid w:val="60FB46CB"/>
    <w:rsid w:val="610C6CEA"/>
    <w:rsid w:val="61111FBE"/>
    <w:rsid w:val="61135EB8"/>
    <w:rsid w:val="61161505"/>
    <w:rsid w:val="612A02E8"/>
    <w:rsid w:val="613100ED"/>
    <w:rsid w:val="615F4C5A"/>
    <w:rsid w:val="6166423A"/>
    <w:rsid w:val="616E6A18"/>
    <w:rsid w:val="6170330B"/>
    <w:rsid w:val="618B5A4F"/>
    <w:rsid w:val="618D0ADC"/>
    <w:rsid w:val="6192725F"/>
    <w:rsid w:val="61952D71"/>
    <w:rsid w:val="619743F4"/>
    <w:rsid w:val="61981990"/>
    <w:rsid w:val="61BC3E5A"/>
    <w:rsid w:val="61C75E9E"/>
    <w:rsid w:val="61D75138"/>
    <w:rsid w:val="61E3588B"/>
    <w:rsid w:val="61E37639"/>
    <w:rsid w:val="61ED04B8"/>
    <w:rsid w:val="61F335F4"/>
    <w:rsid w:val="62053A28"/>
    <w:rsid w:val="6208709F"/>
    <w:rsid w:val="62157A0E"/>
    <w:rsid w:val="621710AD"/>
    <w:rsid w:val="621A5025"/>
    <w:rsid w:val="621E4B15"/>
    <w:rsid w:val="623B56C7"/>
    <w:rsid w:val="623D288E"/>
    <w:rsid w:val="624B3430"/>
    <w:rsid w:val="625B3673"/>
    <w:rsid w:val="627C663C"/>
    <w:rsid w:val="629D5670"/>
    <w:rsid w:val="62A25C06"/>
    <w:rsid w:val="62AD10B2"/>
    <w:rsid w:val="62AF7E63"/>
    <w:rsid w:val="62B20F47"/>
    <w:rsid w:val="62BA4707"/>
    <w:rsid w:val="62C84B84"/>
    <w:rsid w:val="62CC4571"/>
    <w:rsid w:val="62E35729"/>
    <w:rsid w:val="62E418BB"/>
    <w:rsid w:val="62E47B0C"/>
    <w:rsid w:val="62E51502"/>
    <w:rsid w:val="62FB6C04"/>
    <w:rsid w:val="6304632A"/>
    <w:rsid w:val="63057A83"/>
    <w:rsid w:val="630853CB"/>
    <w:rsid w:val="630E4B89"/>
    <w:rsid w:val="63163A3E"/>
    <w:rsid w:val="631657EC"/>
    <w:rsid w:val="631B7B5D"/>
    <w:rsid w:val="631D301E"/>
    <w:rsid w:val="632779F9"/>
    <w:rsid w:val="632E0D88"/>
    <w:rsid w:val="633914DA"/>
    <w:rsid w:val="633A772C"/>
    <w:rsid w:val="63424B63"/>
    <w:rsid w:val="63473BF7"/>
    <w:rsid w:val="634B7B8C"/>
    <w:rsid w:val="63525F0E"/>
    <w:rsid w:val="63534C92"/>
    <w:rsid w:val="638766EA"/>
    <w:rsid w:val="638B442C"/>
    <w:rsid w:val="638D24E1"/>
    <w:rsid w:val="639808F7"/>
    <w:rsid w:val="63A8693A"/>
    <w:rsid w:val="63B03E93"/>
    <w:rsid w:val="63C07125"/>
    <w:rsid w:val="63C139AA"/>
    <w:rsid w:val="63C811DC"/>
    <w:rsid w:val="63D556A7"/>
    <w:rsid w:val="63D77671"/>
    <w:rsid w:val="63E16EE0"/>
    <w:rsid w:val="63F975E8"/>
    <w:rsid w:val="63FA510E"/>
    <w:rsid w:val="63FA6EBC"/>
    <w:rsid w:val="63FF2B31"/>
    <w:rsid w:val="641D2E59"/>
    <w:rsid w:val="6429154F"/>
    <w:rsid w:val="642A59F3"/>
    <w:rsid w:val="644333C1"/>
    <w:rsid w:val="644B7717"/>
    <w:rsid w:val="64550596"/>
    <w:rsid w:val="64616F3B"/>
    <w:rsid w:val="64664551"/>
    <w:rsid w:val="64671D6D"/>
    <w:rsid w:val="64694C55"/>
    <w:rsid w:val="647B7FFD"/>
    <w:rsid w:val="64833355"/>
    <w:rsid w:val="6486074F"/>
    <w:rsid w:val="64924989"/>
    <w:rsid w:val="64B27796"/>
    <w:rsid w:val="64B90B25"/>
    <w:rsid w:val="64C5396E"/>
    <w:rsid w:val="64CC0858"/>
    <w:rsid w:val="64D616D7"/>
    <w:rsid w:val="64E35BA2"/>
    <w:rsid w:val="64E37662"/>
    <w:rsid w:val="64F07C94"/>
    <w:rsid w:val="64F61D79"/>
    <w:rsid w:val="64F77A8C"/>
    <w:rsid w:val="64FC10D6"/>
    <w:rsid w:val="64FE29DC"/>
    <w:rsid w:val="65005ECA"/>
    <w:rsid w:val="65015320"/>
    <w:rsid w:val="650A5824"/>
    <w:rsid w:val="65164F59"/>
    <w:rsid w:val="65197815"/>
    <w:rsid w:val="65200BA4"/>
    <w:rsid w:val="652561BA"/>
    <w:rsid w:val="652E32C1"/>
    <w:rsid w:val="65363F24"/>
    <w:rsid w:val="653950E0"/>
    <w:rsid w:val="653D2314"/>
    <w:rsid w:val="65501489"/>
    <w:rsid w:val="65735178"/>
    <w:rsid w:val="659438DB"/>
    <w:rsid w:val="65AB66C0"/>
    <w:rsid w:val="65AE5912"/>
    <w:rsid w:val="65B23EF2"/>
    <w:rsid w:val="65C278D9"/>
    <w:rsid w:val="65C56CD9"/>
    <w:rsid w:val="65D774B5"/>
    <w:rsid w:val="65DD1420"/>
    <w:rsid w:val="65E73470"/>
    <w:rsid w:val="65F77EF2"/>
    <w:rsid w:val="65F938CF"/>
    <w:rsid w:val="65FC65E7"/>
    <w:rsid w:val="66081D64"/>
    <w:rsid w:val="660B3602"/>
    <w:rsid w:val="661029FE"/>
    <w:rsid w:val="66104CAF"/>
    <w:rsid w:val="66157FDD"/>
    <w:rsid w:val="661A1F82"/>
    <w:rsid w:val="66233A5B"/>
    <w:rsid w:val="663B6918"/>
    <w:rsid w:val="663C7C5F"/>
    <w:rsid w:val="66524D8D"/>
    <w:rsid w:val="6659611C"/>
    <w:rsid w:val="66636F9A"/>
    <w:rsid w:val="666524F6"/>
    <w:rsid w:val="6672404B"/>
    <w:rsid w:val="667C005C"/>
    <w:rsid w:val="667E3DD4"/>
    <w:rsid w:val="667E5B82"/>
    <w:rsid w:val="66804199"/>
    <w:rsid w:val="6692162D"/>
    <w:rsid w:val="669B1B2B"/>
    <w:rsid w:val="669B2BD8"/>
    <w:rsid w:val="66A51361"/>
    <w:rsid w:val="66CD08B8"/>
    <w:rsid w:val="66D02156"/>
    <w:rsid w:val="66E00547"/>
    <w:rsid w:val="66EA796E"/>
    <w:rsid w:val="66EF6A80"/>
    <w:rsid w:val="66F83C73"/>
    <w:rsid w:val="66F9345B"/>
    <w:rsid w:val="67046CF5"/>
    <w:rsid w:val="67057175"/>
    <w:rsid w:val="671169F6"/>
    <w:rsid w:val="6712276E"/>
    <w:rsid w:val="672506F4"/>
    <w:rsid w:val="6727621A"/>
    <w:rsid w:val="67283D40"/>
    <w:rsid w:val="672F1572"/>
    <w:rsid w:val="67363C15"/>
    <w:rsid w:val="673E1D66"/>
    <w:rsid w:val="6744501E"/>
    <w:rsid w:val="675A65EF"/>
    <w:rsid w:val="675D1E04"/>
    <w:rsid w:val="6760172C"/>
    <w:rsid w:val="67631A94"/>
    <w:rsid w:val="67656D42"/>
    <w:rsid w:val="676905E0"/>
    <w:rsid w:val="67825B46"/>
    <w:rsid w:val="67842A87"/>
    <w:rsid w:val="67927140"/>
    <w:rsid w:val="679B09B6"/>
    <w:rsid w:val="679D64DC"/>
    <w:rsid w:val="67A41555"/>
    <w:rsid w:val="67BD37B3"/>
    <w:rsid w:val="67D6379C"/>
    <w:rsid w:val="67DA328C"/>
    <w:rsid w:val="67E718C6"/>
    <w:rsid w:val="67EC1211"/>
    <w:rsid w:val="67FD341E"/>
    <w:rsid w:val="680463B4"/>
    <w:rsid w:val="68190258"/>
    <w:rsid w:val="681F5143"/>
    <w:rsid w:val="682269E1"/>
    <w:rsid w:val="682C6F1B"/>
    <w:rsid w:val="683C5CF5"/>
    <w:rsid w:val="683D085A"/>
    <w:rsid w:val="683F3A37"/>
    <w:rsid w:val="6848469A"/>
    <w:rsid w:val="685105CC"/>
    <w:rsid w:val="68582403"/>
    <w:rsid w:val="685B5FDE"/>
    <w:rsid w:val="68617509"/>
    <w:rsid w:val="686D2352"/>
    <w:rsid w:val="687731D1"/>
    <w:rsid w:val="688558EE"/>
    <w:rsid w:val="68913032"/>
    <w:rsid w:val="68AF296B"/>
    <w:rsid w:val="68AF4719"/>
    <w:rsid w:val="68B43ADD"/>
    <w:rsid w:val="68BE7D67"/>
    <w:rsid w:val="68E24AEE"/>
    <w:rsid w:val="68E36170"/>
    <w:rsid w:val="68E7375E"/>
    <w:rsid w:val="68F6059A"/>
    <w:rsid w:val="68F91E38"/>
    <w:rsid w:val="68FD36D6"/>
    <w:rsid w:val="690B56C7"/>
    <w:rsid w:val="690F51B7"/>
    <w:rsid w:val="691506B5"/>
    <w:rsid w:val="691C78D4"/>
    <w:rsid w:val="692A3D9F"/>
    <w:rsid w:val="693410C2"/>
    <w:rsid w:val="6937323D"/>
    <w:rsid w:val="69432F0E"/>
    <w:rsid w:val="694C640B"/>
    <w:rsid w:val="695E614D"/>
    <w:rsid w:val="697F058F"/>
    <w:rsid w:val="697F233D"/>
    <w:rsid w:val="69A51678"/>
    <w:rsid w:val="69B47B0D"/>
    <w:rsid w:val="69BB533F"/>
    <w:rsid w:val="69BD10B7"/>
    <w:rsid w:val="69CC12FA"/>
    <w:rsid w:val="69D32689"/>
    <w:rsid w:val="69D65CD5"/>
    <w:rsid w:val="69D72179"/>
    <w:rsid w:val="69DF102E"/>
    <w:rsid w:val="69E16261"/>
    <w:rsid w:val="69E5416A"/>
    <w:rsid w:val="69E623BC"/>
    <w:rsid w:val="6A074E02"/>
    <w:rsid w:val="6A1D1C45"/>
    <w:rsid w:val="6A2D7FEB"/>
    <w:rsid w:val="6A3D7B02"/>
    <w:rsid w:val="6A4E7F61"/>
    <w:rsid w:val="6A5135AE"/>
    <w:rsid w:val="6A582B8E"/>
    <w:rsid w:val="6A5976E3"/>
    <w:rsid w:val="6A646982"/>
    <w:rsid w:val="6A6948F3"/>
    <w:rsid w:val="6A6B466F"/>
    <w:rsid w:val="6A777F75"/>
    <w:rsid w:val="6A7C4ACE"/>
    <w:rsid w:val="6A7E0847"/>
    <w:rsid w:val="6A8D6CDC"/>
    <w:rsid w:val="6A9811DC"/>
    <w:rsid w:val="6A98708D"/>
    <w:rsid w:val="6AA81420"/>
    <w:rsid w:val="6AAB7162"/>
    <w:rsid w:val="6ABC4ECB"/>
    <w:rsid w:val="6ABE6E95"/>
    <w:rsid w:val="6ACA583A"/>
    <w:rsid w:val="6AD203BD"/>
    <w:rsid w:val="6AD55F8D"/>
    <w:rsid w:val="6AE52674"/>
    <w:rsid w:val="6AEC5F7C"/>
    <w:rsid w:val="6AF02DC7"/>
    <w:rsid w:val="6AF40B09"/>
    <w:rsid w:val="6AF44665"/>
    <w:rsid w:val="6AF72426"/>
    <w:rsid w:val="6AFE54E3"/>
    <w:rsid w:val="6AFF6047"/>
    <w:rsid w:val="6B013226"/>
    <w:rsid w:val="6B0A20DA"/>
    <w:rsid w:val="6B0B7AA9"/>
    <w:rsid w:val="6B146AB5"/>
    <w:rsid w:val="6B1B6095"/>
    <w:rsid w:val="6B261B6A"/>
    <w:rsid w:val="6B2D5DC9"/>
    <w:rsid w:val="6B32518D"/>
    <w:rsid w:val="6B427AC6"/>
    <w:rsid w:val="6B4D3238"/>
    <w:rsid w:val="6B522B8F"/>
    <w:rsid w:val="6B607F4C"/>
    <w:rsid w:val="6B6712DB"/>
    <w:rsid w:val="6B6E1552"/>
    <w:rsid w:val="6B713F07"/>
    <w:rsid w:val="6B813B16"/>
    <w:rsid w:val="6B8A321B"/>
    <w:rsid w:val="6B8A4FC9"/>
    <w:rsid w:val="6B945E48"/>
    <w:rsid w:val="6B96396E"/>
    <w:rsid w:val="6B9D2F4E"/>
    <w:rsid w:val="6B9E0A74"/>
    <w:rsid w:val="6BA0659B"/>
    <w:rsid w:val="6BA240C1"/>
    <w:rsid w:val="6BA50055"/>
    <w:rsid w:val="6BAD0172"/>
    <w:rsid w:val="6BAE515B"/>
    <w:rsid w:val="6BB93212"/>
    <w:rsid w:val="6BB93B4D"/>
    <w:rsid w:val="6BB9765C"/>
    <w:rsid w:val="6BD10E4A"/>
    <w:rsid w:val="6BEA0532"/>
    <w:rsid w:val="6BEA1734"/>
    <w:rsid w:val="6BEA3CBA"/>
    <w:rsid w:val="6BEE7306"/>
    <w:rsid w:val="6BF344D5"/>
    <w:rsid w:val="6BF54B38"/>
    <w:rsid w:val="6BFB7C75"/>
    <w:rsid w:val="6C023B34"/>
    <w:rsid w:val="6C123D77"/>
    <w:rsid w:val="6C3B104D"/>
    <w:rsid w:val="6C3F3A17"/>
    <w:rsid w:val="6C412037"/>
    <w:rsid w:val="6C517895"/>
    <w:rsid w:val="6C5F1FB2"/>
    <w:rsid w:val="6C63278A"/>
    <w:rsid w:val="6C6475C8"/>
    <w:rsid w:val="6C6A4208"/>
    <w:rsid w:val="6C6E48EB"/>
    <w:rsid w:val="6C7812C6"/>
    <w:rsid w:val="6C841A18"/>
    <w:rsid w:val="6C887C60"/>
    <w:rsid w:val="6C891725"/>
    <w:rsid w:val="6C953C26"/>
    <w:rsid w:val="6C9F7A6E"/>
    <w:rsid w:val="6CA125CA"/>
    <w:rsid w:val="6CAB3449"/>
    <w:rsid w:val="6CB42123"/>
    <w:rsid w:val="6CB72F7A"/>
    <w:rsid w:val="6CB95B66"/>
    <w:rsid w:val="6CBA7B30"/>
    <w:rsid w:val="6CE16E6B"/>
    <w:rsid w:val="6CEE4BEB"/>
    <w:rsid w:val="6CF63256"/>
    <w:rsid w:val="6D0D5EB2"/>
    <w:rsid w:val="6D133BE5"/>
    <w:rsid w:val="6D260D22"/>
    <w:rsid w:val="6D323B6A"/>
    <w:rsid w:val="6D325918"/>
    <w:rsid w:val="6D365409"/>
    <w:rsid w:val="6D3E5710"/>
    <w:rsid w:val="6D400035"/>
    <w:rsid w:val="6D48513C"/>
    <w:rsid w:val="6D4A1104"/>
    <w:rsid w:val="6D51565A"/>
    <w:rsid w:val="6D63119D"/>
    <w:rsid w:val="6D6D6950"/>
    <w:rsid w:val="6D7C6B93"/>
    <w:rsid w:val="6D8D7E6D"/>
    <w:rsid w:val="6D9D1563"/>
    <w:rsid w:val="6D9F5B0F"/>
    <w:rsid w:val="6DA265FA"/>
    <w:rsid w:val="6DB85E1E"/>
    <w:rsid w:val="6DCA3DA3"/>
    <w:rsid w:val="6DCA78FF"/>
    <w:rsid w:val="6DD42291"/>
    <w:rsid w:val="6DD55034"/>
    <w:rsid w:val="6DD644F6"/>
    <w:rsid w:val="6DD8026E"/>
    <w:rsid w:val="6DDA15E5"/>
    <w:rsid w:val="6DDE70AD"/>
    <w:rsid w:val="6DE035C6"/>
    <w:rsid w:val="6DE55CE6"/>
    <w:rsid w:val="6DEF55B7"/>
    <w:rsid w:val="6DF1132F"/>
    <w:rsid w:val="6E0077C5"/>
    <w:rsid w:val="6E032E11"/>
    <w:rsid w:val="6E0C43BB"/>
    <w:rsid w:val="6E1F57B8"/>
    <w:rsid w:val="6E2B2A93"/>
    <w:rsid w:val="6E2C05BA"/>
    <w:rsid w:val="6E3851B0"/>
    <w:rsid w:val="6E3A62FB"/>
    <w:rsid w:val="6E4C47B8"/>
    <w:rsid w:val="6E4E5ABE"/>
    <w:rsid w:val="6E511968"/>
    <w:rsid w:val="6E565636"/>
    <w:rsid w:val="6E6E0BD2"/>
    <w:rsid w:val="6E6E5525"/>
    <w:rsid w:val="6E7347BC"/>
    <w:rsid w:val="6E7C32EF"/>
    <w:rsid w:val="6E7D32FC"/>
    <w:rsid w:val="6E921943"/>
    <w:rsid w:val="6E932C37"/>
    <w:rsid w:val="6E960770"/>
    <w:rsid w:val="6E9C129B"/>
    <w:rsid w:val="6E9F6FDD"/>
    <w:rsid w:val="6EAC5256"/>
    <w:rsid w:val="6EBA0CCE"/>
    <w:rsid w:val="6EBD0E20"/>
    <w:rsid w:val="6EC24A7A"/>
    <w:rsid w:val="6EC9405A"/>
    <w:rsid w:val="6EE80872"/>
    <w:rsid w:val="6EEF1D13"/>
    <w:rsid w:val="6EF20264"/>
    <w:rsid w:val="6EFC7F8C"/>
    <w:rsid w:val="6EFF109E"/>
    <w:rsid w:val="6F0F4163"/>
    <w:rsid w:val="6F1A4505"/>
    <w:rsid w:val="6F1F3C7A"/>
    <w:rsid w:val="6F213E96"/>
    <w:rsid w:val="6F223CBA"/>
    <w:rsid w:val="6F4705F4"/>
    <w:rsid w:val="6F5B3D52"/>
    <w:rsid w:val="6F5C4ECE"/>
    <w:rsid w:val="6F5E0C47"/>
    <w:rsid w:val="6F631DB9"/>
    <w:rsid w:val="6F751AEC"/>
    <w:rsid w:val="6F7A7103"/>
    <w:rsid w:val="6F946416"/>
    <w:rsid w:val="6F9C7CD4"/>
    <w:rsid w:val="6FB22D40"/>
    <w:rsid w:val="6FB46AB9"/>
    <w:rsid w:val="6FB70357"/>
    <w:rsid w:val="6FBB39A3"/>
    <w:rsid w:val="6FC34F4E"/>
    <w:rsid w:val="6FC53D01"/>
    <w:rsid w:val="6FC82564"/>
    <w:rsid w:val="6FDE2D64"/>
    <w:rsid w:val="6FE242F9"/>
    <w:rsid w:val="6FE27182"/>
    <w:rsid w:val="6FFE1AE2"/>
    <w:rsid w:val="7004359C"/>
    <w:rsid w:val="70090BB2"/>
    <w:rsid w:val="700C06A3"/>
    <w:rsid w:val="701A2263"/>
    <w:rsid w:val="70227EC6"/>
    <w:rsid w:val="70231548"/>
    <w:rsid w:val="702E0619"/>
    <w:rsid w:val="703811D1"/>
    <w:rsid w:val="7039446C"/>
    <w:rsid w:val="703B2CA9"/>
    <w:rsid w:val="703F2826"/>
    <w:rsid w:val="705C33D8"/>
    <w:rsid w:val="705E22A8"/>
    <w:rsid w:val="706933FF"/>
    <w:rsid w:val="7073599E"/>
    <w:rsid w:val="70765B1C"/>
    <w:rsid w:val="707A1AB0"/>
    <w:rsid w:val="707A385E"/>
    <w:rsid w:val="707B1384"/>
    <w:rsid w:val="70820965"/>
    <w:rsid w:val="708351E6"/>
    <w:rsid w:val="70904E30"/>
    <w:rsid w:val="70912956"/>
    <w:rsid w:val="70A15996"/>
    <w:rsid w:val="70AD723C"/>
    <w:rsid w:val="70BF7BBB"/>
    <w:rsid w:val="70C04FE9"/>
    <w:rsid w:val="70C4708B"/>
    <w:rsid w:val="70C66AA3"/>
    <w:rsid w:val="70C920F0"/>
    <w:rsid w:val="70CB5E68"/>
    <w:rsid w:val="70CC2403"/>
    <w:rsid w:val="70D311C0"/>
    <w:rsid w:val="70DD5B9B"/>
    <w:rsid w:val="70F4130B"/>
    <w:rsid w:val="710861BE"/>
    <w:rsid w:val="710D6480"/>
    <w:rsid w:val="712B4B58"/>
    <w:rsid w:val="712F27B5"/>
    <w:rsid w:val="71400224"/>
    <w:rsid w:val="714D4ACF"/>
    <w:rsid w:val="71503577"/>
    <w:rsid w:val="71552383"/>
    <w:rsid w:val="715A71EC"/>
    <w:rsid w:val="715F7D1E"/>
    <w:rsid w:val="71775A02"/>
    <w:rsid w:val="717B788E"/>
    <w:rsid w:val="717C1858"/>
    <w:rsid w:val="717C53B4"/>
    <w:rsid w:val="71836742"/>
    <w:rsid w:val="7185070D"/>
    <w:rsid w:val="71883D59"/>
    <w:rsid w:val="71AC349D"/>
    <w:rsid w:val="71AF3E21"/>
    <w:rsid w:val="71BB4289"/>
    <w:rsid w:val="71C31235"/>
    <w:rsid w:val="71E371E1"/>
    <w:rsid w:val="71E573FD"/>
    <w:rsid w:val="720C094E"/>
    <w:rsid w:val="720F06B2"/>
    <w:rsid w:val="72121874"/>
    <w:rsid w:val="72127AC6"/>
    <w:rsid w:val="72133F6A"/>
    <w:rsid w:val="723B701D"/>
    <w:rsid w:val="724A7260"/>
    <w:rsid w:val="72514A93"/>
    <w:rsid w:val="727260E1"/>
    <w:rsid w:val="727331D4"/>
    <w:rsid w:val="72760518"/>
    <w:rsid w:val="7277569D"/>
    <w:rsid w:val="72AE1088"/>
    <w:rsid w:val="72B017B9"/>
    <w:rsid w:val="72B34E05"/>
    <w:rsid w:val="72BB015E"/>
    <w:rsid w:val="72BD7A32"/>
    <w:rsid w:val="72C90BCF"/>
    <w:rsid w:val="72CD0B09"/>
    <w:rsid w:val="72D336FA"/>
    <w:rsid w:val="72D47484"/>
    <w:rsid w:val="72DB3782"/>
    <w:rsid w:val="72E871A5"/>
    <w:rsid w:val="72F13B80"/>
    <w:rsid w:val="72F1592E"/>
    <w:rsid w:val="72F316A6"/>
    <w:rsid w:val="72F40A6A"/>
    <w:rsid w:val="72FC49FE"/>
    <w:rsid w:val="72FD2525"/>
    <w:rsid w:val="72FD42D3"/>
    <w:rsid w:val="73092C77"/>
    <w:rsid w:val="733028FA"/>
    <w:rsid w:val="73320420"/>
    <w:rsid w:val="73357F10"/>
    <w:rsid w:val="7338355D"/>
    <w:rsid w:val="733A0875"/>
    <w:rsid w:val="733C129F"/>
    <w:rsid w:val="733F0D8F"/>
    <w:rsid w:val="733F2B3D"/>
    <w:rsid w:val="73465C7A"/>
    <w:rsid w:val="734939BC"/>
    <w:rsid w:val="736507F6"/>
    <w:rsid w:val="736B1B84"/>
    <w:rsid w:val="736F3422"/>
    <w:rsid w:val="73722F12"/>
    <w:rsid w:val="73726192"/>
    <w:rsid w:val="73814F04"/>
    <w:rsid w:val="739C7F8F"/>
    <w:rsid w:val="73A0182E"/>
    <w:rsid w:val="73A17354"/>
    <w:rsid w:val="73B138F0"/>
    <w:rsid w:val="73B471B0"/>
    <w:rsid w:val="73C03A5C"/>
    <w:rsid w:val="73C80D84"/>
    <w:rsid w:val="73CF2113"/>
    <w:rsid w:val="73D2575F"/>
    <w:rsid w:val="73DB10C1"/>
    <w:rsid w:val="73DB5EE4"/>
    <w:rsid w:val="73E9224C"/>
    <w:rsid w:val="73FB0104"/>
    <w:rsid w:val="73FC2686"/>
    <w:rsid w:val="73FE47A6"/>
    <w:rsid w:val="740022CC"/>
    <w:rsid w:val="74024296"/>
    <w:rsid w:val="74037DA2"/>
    <w:rsid w:val="741004A3"/>
    <w:rsid w:val="7410146D"/>
    <w:rsid w:val="7412343A"/>
    <w:rsid w:val="74212243"/>
    <w:rsid w:val="74265F62"/>
    <w:rsid w:val="74416441"/>
    <w:rsid w:val="7443665D"/>
    <w:rsid w:val="744E38EB"/>
    <w:rsid w:val="74583EB6"/>
    <w:rsid w:val="745A5E80"/>
    <w:rsid w:val="745A690E"/>
    <w:rsid w:val="745F518D"/>
    <w:rsid w:val="74620891"/>
    <w:rsid w:val="74624D35"/>
    <w:rsid w:val="746A1E3C"/>
    <w:rsid w:val="747E1224"/>
    <w:rsid w:val="748051BB"/>
    <w:rsid w:val="74806F69"/>
    <w:rsid w:val="749173C8"/>
    <w:rsid w:val="749649DF"/>
    <w:rsid w:val="74A71267"/>
    <w:rsid w:val="74AA2238"/>
    <w:rsid w:val="74B83297"/>
    <w:rsid w:val="74BA691F"/>
    <w:rsid w:val="74C01A5C"/>
    <w:rsid w:val="74C27582"/>
    <w:rsid w:val="74CE4179"/>
    <w:rsid w:val="74ED33FC"/>
    <w:rsid w:val="74F17E67"/>
    <w:rsid w:val="74F87447"/>
    <w:rsid w:val="750B288E"/>
    <w:rsid w:val="750C6A4F"/>
    <w:rsid w:val="750E70AC"/>
    <w:rsid w:val="75183646"/>
    <w:rsid w:val="752E4C17"/>
    <w:rsid w:val="753B535B"/>
    <w:rsid w:val="75422471"/>
    <w:rsid w:val="754D1541"/>
    <w:rsid w:val="7553201F"/>
    <w:rsid w:val="755872A4"/>
    <w:rsid w:val="755C3532"/>
    <w:rsid w:val="75605E63"/>
    <w:rsid w:val="75662603"/>
    <w:rsid w:val="75736ACE"/>
    <w:rsid w:val="75826D11"/>
    <w:rsid w:val="75AC3957"/>
    <w:rsid w:val="75BE6A21"/>
    <w:rsid w:val="75CB06B8"/>
    <w:rsid w:val="75CD4430"/>
    <w:rsid w:val="75CE2F56"/>
    <w:rsid w:val="75CF63FA"/>
    <w:rsid w:val="75D02172"/>
    <w:rsid w:val="75D25EEA"/>
    <w:rsid w:val="75DC4673"/>
    <w:rsid w:val="75DE4F20"/>
    <w:rsid w:val="75E672A0"/>
    <w:rsid w:val="75EB48B6"/>
    <w:rsid w:val="75ED4AD2"/>
    <w:rsid w:val="75F95225"/>
    <w:rsid w:val="760A11E0"/>
    <w:rsid w:val="761958C7"/>
    <w:rsid w:val="76283D5C"/>
    <w:rsid w:val="76285B0A"/>
    <w:rsid w:val="762F3B8B"/>
    <w:rsid w:val="762F6E99"/>
    <w:rsid w:val="763C3364"/>
    <w:rsid w:val="76546C8E"/>
    <w:rsid w:val="76550867"/>
    <w:rsid w:val="765661D4"/>
    <w:rsid w:val="765E6BE4"/>
    <w:rsid w:val="766308F1"/>
    <w:rsid w:val="76692538"/>
    <w:rsid w:val="766F3739"/>
    <w:rsid w:val="76766876"/>
    <w:rsid w:val="767C19B2"/>
    <w:rsid w:val="769431A0"/>
    <w:rsid w:val="769A6A03"/>
    <w:rsid w:val="769F7AC5"/>
    <w:rsid w:val="76AE4262"/>
    <w:rsid w:val="76B66003"/>
    <w:rsid w:val="76C016EB"/>
    <w:rsid w:val="76C43A85"/>
    <w:rsid w:val="76CE01B4"/>
    <w:rsid w:val="76CE0460"/>
    <w:rsid w:val="76DD23E8"/>
    <w:rsid w:val="76EC2FDC"/>
    <w:rsid w:val="76F8372F"/>
    <w:rsid w:val="76FD6F97"/>
    <w:rsid w:val="76FE0619"/>
    <w:rsid w:val="77000835"/>
    <w:rsid w:val="77083A8F"/>
    <w:rsid w:val="770C2D36"/>
    <w:rsid w:val="7711659E"/>
    <w:rsid w:val="7717359E"/>
    <w:rsid w:val="771E56D2"/>
    <w:rsid w:val="772C162A"/>
    <w:rsid w:val="772C5681"/>
    <w:rsid w:val="7731279D"/>
    <w:rsid w:val="77324E93"/>
    <w:rsid w:val="77383B2B"/>
    <w:rsid w:val="77585F7B"/>
    <w:rsid w:val="775A3639"/>
    <w:rsid w:val="77644920"/>
    <w:rsid w:val="77731007"/>
    <w:rsid w:val="777C4360"/>
    <w:rsid w:val="77810780"/>
    <w:rsid w:val="77861191"/>
    <w:rsid w:val="779276DF"/>
    <w:rsid w:val="77A345CB"/>
    <w:rsid w:val="77B44FB4"/>
    <w:rsid w:val="77B77146"/>
    <w:rsid w:val="77B91110"/>
    <w:rsid w:val="77BD2282"/>
    <w:rsid w:val="77CC6333"/>
    <w:rsid w:val="77DA1086"/>
    <w:rsid w:val="77DA2E34"/>
    <w:rsid w:val="77E91D55"/>
    <w:rsid w:val="77FA34D6"/>
    <w:rsid w:val="78016613"/>
    <w:rsid w:val="78143510"/>
    <w:rsid w:val="78146DF7"/>
    <w:rsid w:val="781C1F9F"/>
    <w:rsid w:val="78290334"/>
    <w:rsid w:val="782B2DC7"/>
    <w:rsid w:val="7831514A"/>
    <w:rsid w:val="78372035"/>
    <w:rsid w:val="783C589D"/>
    <w:rsid w:val="78454752"/>
    <w:rsid w:val="7846138A"/>
    <w:rsid w:val="784F737E"/>
    <w:rsid w:val="78540E39"/>
    <w:rsid w:val="786170B2"/>
    <w:rsid w:val="786453D8"/>
    <w:rsid w:val="786F7A21"/>
    <w:rsid w:val="78803C33"/>
    <w:rsid w:val="78882890"/>
    <w:rsid w:val="788F3C1F"/>
    <w:rsid w:val="78915BE9"/>
    <w:rsid w:val="78941235"/>
    <w:rsid w:val="789E3E62"/>
    <w:rsid w:val="78A84CE1"/>
    <w:rsid w:val="78C935D5"/>
    <w:rsid w:val="78DE0702"/>
    <w:rsid w:val="78EF290F"/>
    <w:rsid w:val="78F41CD4"/>
    <w:rsid w:val="78F543CA"/>
    <w:rsid w:val="790E0FE8"/>
    <w:rsid w:val="79142376"/>
    <w:rsid w:val="791566F2"/>
    <w:rsid w:val="791E4FA3"/>
    <w:rsid w:val="79200D1B"/>
    <w:rsid w:val="79254583"/>
    <w:rsid w:val="792B6DBD"/>
    <w:rsid w:val="79305F76"/>
    <w:rsid w:val="79307447"/>
    <w:rsid w:val="79352A18"/>
    <w:rsid w:val="79373F85"/>
    <w:rsid w:val="793D7B1F"/>
    <w:rsid w:val="794E5888"/>
    <w:rsid w:val="79594081"/>
    <w:rsid w:val="796926C2"/>
    <w:rsid w:val="796A6496"/>
    <w:rsid w:val="79751067"/>
    <w:rsid w:val="797A667D"/>
    <w:rsid w:val="797C5F80"/>
    <w:rsid w:val="798902DE"/>
    <w:rsid w:val="798C1BFE"/>
    <w:rsid w:val="799352EA"/>
    <w:rsid w:val="79985388"/>
    <w:rsid w:val="799A6D1F"/>
    <w:rsid w:val="79BD12D1"/>
    <w:rsid w:val="79E033A0"/>
    <w:rsid w:val="79F75F20"/>
    <w:rsid w:val="79FF31C2"/>
    <w:rsid w:val="79FF6B82"/>
    <w:rsid w:val="7A195510"/>
    <w:rsid w:val="7A236D15"/>
    <w:rsid w:val="7A293BFF"/>
    <w:rsid w:val="7A2E09C5"/>
    <w:rsid w:val="7A3727C0"/>
    <w:rsid w:val="7A4078C7"/>
    <w:rsid w:val="7A540C7C"/>
    <w:rsid w:val="7A5B0157"/>
    <w:rsid w:val="7A613399"/>
    <w:rsid w:val="7A74131E"/>
    <w:rsid w:val="7A7C7A5B"/>
    <w:rsid w:val="7AAA2F92"/>
    <w:rsid w:val="7AAC4F5C"/>
    <w:rsid w:val="7ABB0CFB"/>
    <w:rsid w:val="7ABE5D88"/>
    <w:rsid w:val="7AC12280"/>
    <w:rsid w:val="7AD703A0"/>
    <w:rsid w:val="7AE55D78"/>
    <w:rsid w:val="7AF1296F"/>
    <w:rsid w:val="7AF22960"/>
    <w:rsid w:val="7AF43C46"/>
    <w:rsid w:val="7B043CD8"/>
    <w:rsid w:val="7B1138F9"/>
    <w:rsid w:val="7B1228E5"/>
    <w:rsid w:val="7B136D89"/>
    <w:rsid w:val="7B202E8E"/>
    <w:rsid w:val="7B29035B"/>
    <w:rsid w:val="7B2C39A7"/>
    <w:rsid w:val="7B4F4192"/>
    <w:rsid w:val="7B533629"/>
    <w:rsid w:val="7B5C5396"/>
    <w:rsid w:val="7B5D1DB2"/>
    <w:rsid w:val="7B631BA8"/>
    <w:rsid w:val="7B8053B0"/>
    <w:rsid w:val="7B886092"/>
    <w:rsid w:val="7B8C6B3B"/>
    <w:rsid w:val="7B923709"/>
    <w:rsid w:val="7BA93249"/>
    <w:rsid w:val="7BAC560C"/>
    <w:rsid w:val="7BBD6CF5"/>
    <w:rsid w:val="7BC27EF3"/>
    <w:rsid w:val="7BE91898"/>
    <w:rsid w:val="7BEC1388"/>
    <w:rsid w:val="7BFF730D"/>
    <w:rsid w:val="7C030BAC"/>
    <w:rsid w:val="7C032C17"/>
    <w:rsid w:val="7C0861C2"/>
    <w:rsid w:val="7C1424D2"/>
    <w:rsid w:val="7C243439"/>
    <w:rsid w:val="7C296138"/>
    <w:rsid w:val="7C2B3C5E"/>
    <w:rsid w:val="7C3F3BAE"/>
    <w:rsid w:val="7C4B2553"/>
    <w:rsid w:val="7C555ED1"/>
    <w:rsid w:val="7C570EF7"/>
    <w:rsid w:val="7C5807CC"/>
    <w:rsid w:val="7C686C61"/>
    <w:rsid w:val="7C6D1F4D"/>
    <w:rsid w:val="7C8234EA"/>
    <w:rsid w:val="7C830E25"/>
    <w:rsid w:val="7C914409"/>
    <w:rsid w:val="7C9712F4"/>
    <w:rsid w:val="7CA27F8E"/>
    <w:rsid w:val="7CA7604C"/>
    <w:rsid w:val="7CAF4890"/>
    <w:rsid w:val="7CAF663E"/>
    <w:rsid w:val="7CB53F15"/>
    <w:rsid w:val="7CBB3234"/>
    <w:rsid w:val="7CBF7B20"/>
    <w:rsid w:val="7CC01C61"/>
    <w:rsid w:val="7CC21DA9"/>
    <w:rsid w:val="7CC55E61"/>
    <w:rsid w:val="7CCB4BA1"/>
    <w:rsid w:val="7CCF0A8E"/>
    <w:rsid w:val="7CE32B26"/>
    <w:rsid w:val="7CE64029"/>
    <w:rsid w:val="7CEF2EDE"/>
    <w:rsid w:val="7CF820C9"/>
    <w:rsid w:val="7CFD4386"/>
    <w:rsid w:val="7D00333D"/>
    <w:rsid w:val="7D0050EB"/>
    <w:rsid w:val="7D006E99"/>
    <w:rsid w:val="7D012C11"/>
    <w:rsid w:val="7D027930"/>
    <w:rsid w:val="7D07647A"/>
    <w:rsid w:val="7D0B7ECF"/>
    <w:rsid w:val="7D0D0D61"/>
    <w:rsid w:val="7D140B97"/>
    <w:rsid w:val="7D165687"/>
    <w:rsid w:val="7D172435"/>
    <w:rsid w:val="7D272678"/>
    <w:rsid w:val="7D2D3A06"/>
    <w:rsid w:val="7D2F777E"/>
    <w:rsid w:val="7D4274B2"/>
    <w:rsid w:val="7D5E0064"/>
    <w:rsid w:val="7D63567A"/>
    <w:rsid w:val="7D6438CC"/>
    <w:rsid w:val="7D6E414F"/>
    <w:rsid w:val="7D80447E"/>
    <w:rsid w:val="7D80622C"/>
    <w:rsid w:val="7D9F2B56"/>
    <w:rsid w:val="7DC65BBE"/>
    <w:rsid w:val="7DD00F61"/>
    <w:rsid w:val="7E1626EC"/>
    <w:rsid w:val="7E320D2E"/>
    <w:rsid w:val="7E413C0D"/>
    <w:rsid w:val="7E5D031B"/>
    <w:rsid w:val="7E5F5E41"/>
    <w:rsid w:val="7E7B18C1"/>
    <w:rsid w:val="7E9C52E7"/>
    <w:rsid w:val="7E9E4BBC"/>
    <w:rsid w:val="7EA419F0"/>
    <w:rsid w:val="7EAB72D9"/>
    <w:rsid w:val="7EAF501B"/>
    <w:rsid w:val="7EB4618D"/>
    <w:rsid w:val="7EC108AA"/>
    <w:rsid w:val="7EC565EC"/>
    <w:rsid w:val="7ECD724F"/>
    <w:rsid w:val="7ECE6258"/>
    <w:rsid w:val="7ED06D3F"/>
    <w:rsid w:val="7EDB7BBE"/>
    <w:rsid w:val="7EDF11BD"/>
    <w:rsid w:val="7EE07206"/>
    <w:rsid w:val="7EFB0260"/>
    <w:rsid w:val="7F0A7EBE"/>
    <w:rsid w:val="7F0F5AB9"/>
    <w:rsid w:val="7F145C32"/>
    <w:rsid w:val="7F1629A4"/>
    <w:rsid w:val="7F195E74"/>
    <w:rsid w:val="7F1E7AAB"/>
    <w:rsid w:val="7F201A75"/>
    <w:rsid w:val="7F225E4D"/>
    <w:rsid w:val="7F2A46A1"/>
    <w:rsid w:val="7F313C82"/>
    <w:rsid w:val="7F3666C1"/>
    <w:rsid w:val="7F390D88"/>
    <w:rsid w:val="7F3C32F9"/>
    <w:rsid w:val="7F3D2627"/>
    <w:rsid w:val="7F435763"/>
    <w:rsid w:val="7F450D54"/>
    <w:rsid w:val="7F4B7397"/>
    <w:rsid w:val="7F507FBE"/>
    <w:rsid w:val="7F641DC8"/>
    <w:rsid w:val="7F6E277A"/>
    <w:rsid w:val="7F6F47AA"/>
    <w:rsid w:val="7F7122D0"/>
    <w:rsid w:val="7F71407E"/>
    <w:rsid w:val="7F761695"/>
    <w:rsid w:val="7F777ADC"/>
    <w:rsid w:val="7F78097A"/>
    <w:rsid w:val="7F792F33"/>
    <w:rsid w:val="7F8813C8"/>
    <w:rsid w:val="7F8943FC"/>
    <w:rsid w:val="7F8C0EB8"/>
    <w:rsid w:val="7F923FF5"/>
    <w:rsid w:val="7F954211"/>
    <w:rsid w:val="7FA958B0"/>
    <w:rsid w:val="7FB23A4D"/>
    <w:rsid w:val="7FBB179D"/>
    <w:rsid w:val="7FBD72C3"/>
    <w:rsid w:val="7FC06DB4"/>
    <w:rsid w:val="7FC70142"/>
    <w:rsid w:val="7FCC39AA"/>
    <w:rsid w:val="7FD840FD"/>
    <w:rsid w:val="7FD85EAB"/>
    <w:rsid w:val="7FE02FB2"/>
    <w:rsid w:val="7FE900B8"/>
    <w:rsid w:val="7FFB603E"/>
    <w:rsid w:val="7FFF5B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2"/>
    <w:autoRedefine/>
    <w:qFormat/>
    <w:uiPriority w:val="0"/>
    <w:pPr>
      <w:keepNext/>
      <w:keepLines/>
      <w:spacing w:before="340" w:after="330" w:line="578" w:lineRule="auto"/>
      <w:outlineLvl w:val="0"/>
    </w:pPr>
    <w:rPr>
      <w:b/>
      <w:bCs/>
      <w:kern w:val="44"/>
      <w:sz w:val="44"/>
      <w:szCs w:val="44"/>
    </w:rPr>
  </w:style>
  <w:style w:type="paragraph" w:styleId="3">
    <w:name w:val="heading 3"/>
    <w:basedOn w:val="1"/>
    <w:next w:val="1"/>
    <w:autoRedefine/>
    <w:qFormat/>
    <w:uiPriority w:val="0"/>
    <w:pPr>
      <w:keepNext/>
      <w:keepLines/>
      <w:spacing w:before="260" w:after="260" w:line="416" w:lineRule="auto"/>
      <w:outlineLvl w:val="2"/>
    </w:pPr>
    <w:rPr>
      <w:b/>
      <w:sz w:val="32"/>
    </w:rPr>
  </w:style>
  <w:style w:type="character" w:default="1" w:styleId="19">
    <w:name w:val="Default Paragraph Font"/>
    <w:link w:val="20"/>
    <w:autoRedefine/>
    <w:semiHidden/>
    <w:qFormat/>
    <w:uiPriority w:val="0"/>
    <w:rPr>
      <w:rFonts w:ascii="Tahoma" w:hAnsi="Tahoma"/>
      <w:kern w:val="0"/>
      <w:sz w:val="24"/>
      <w:szCs w:val="20"/>
    </w:rPr>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4">
    <w:name w:val="Document Map"/>
    <w:basedOn w:val="1"/>
    <w:autoRedefine/>
    <w:semiHidden/>
    <w:qFormat/>
    <w:uiPriority w:val="0"/>
    <w:pPr>
      <w:shd w:val="clear" w:color="auto" w:fill="000080"/>
    </w:pPr>
  </w:style>
  <w:style w:type="paragraph" w:styleId="5">
    <w:name w:val="annotation text"/>
    <w:basedOn w:val="1"/>
    <w:autoRedefine/>
    <w:semiHidden/>
    <w:qFormat/>
    <w:uiPriority w:val="0"/>
    <w:pPr>
      <w:jc w:val="left"/>
    </w:pPr>
  </w:style>
  <w:style w:type="paragraph" w:styleId="6">
    <w:name w:val="Body Text"/>
    <w:basedOn w:val="1"/>
    <w:autoRedefine/>
    <w:qFormat/>
    <w:uiPriority w:val="0"/>
    <w:pPr>
      <w:spacing w:after="120" w:afterLines="0" w:afterAutospacing="0"/>
    </w:pPr>
  </w:style>
  <w:style w:type="paragraph" w:styleId="7">
    <w:name w:val="Body Text Indent"/>
    <w:basedOn w:val="1"/>
    <w:autoRedefine/>
    <w:qFormat/>
    <w:uiPriority w:val="0"/>
    <w:pPr>
      <w:spacing w:line="520" w:lineRule="exact"/>
      <w:ind w:firstLine="645"/>
    </w:pPr>
    <w:rPr>
      <w:sz w:val="28"/>
      <w:szCs w:val="20"/>
    </w:rPr>
  </w:style>
  <w:style w:type="paragraph" w:styleId="8">
    <w:name w:val="Plain Text"/>
    <w:basedOn w:val="1"/>
    <w:autoRedefine/>
    <w:qFormat/>
    <w:uiPriority w:val="0"/>
    <w:rPr>
      <w:rFonts w:ascii="宋体" w:hAnsi="Courier New" w:cs="Courier New"/>
      <w:szCs w:val="21"/>
    </w:rPr>
  </w:style>
  <w:style w:type="paragraph" w:styleId="9">
    <w:name w:val="Date"/>
    <w:basedOn w:val="1"/>
    <w:next w:val="1"/>
    <w:autoRedefine/>
    <w:qFormat/>
    <w:uiPriority w:val="0"/>
    <w:rPr>
      <w:sz w:val="28"/>
      <w:szCs w:val="20"/>
    </w:rPr>
  </w:style>
  <w:style w:type="paragraph" w:styleId="10">
    <w:name w:val="Body Text Indent 2"/>
    <w:basedOn w:val="1"/>
    <w:autoRedefine/>
    <w:qFormat/>
    <w:uiPriority w:val="0"/>
    <w:pPr>
      <w:spacing w:line="460" w:lineRule="exact"/>
      <w:ind w:firstLine="510" w:firstLineChars="182"/>
    </w:pPr>
    <w:rPr>
      <w:sz w:val="28"/>
      <w:szCs w:val="20"/>
    </w:rPr>
  </w:style>
  <w:style w:type="paragraph" w:styleId="11">
    <w:name w:val="Balloon Text"/>
    <w:basedOn w:val="1"/>
    <w:autoRedefine/>
    <w:semiHidden/>
    <w:qFormat/>
    <w:uiPriority w:val="0"/>
    <w:rPr>
      <w:sz w:val="18"/>
      <w:szCs w:val="18"/>
    </w:rPr>
  </w:style>
  <w:style w:type="paragraph" w:styleId="12">
    <w:name w:val="footer"/>
    <w:basedOn w:val="1"/>
    <w:autoRedefine/>
    <w:qFormat/>
    <w:uiPriority w:val="0"/>
    <w:pPr>
      <w:tabs>
        <w:tab w:val="center" w:pos="4153"/>
        <w:tab w:val="right" w:pos="8306"/>
      </w:tabs>
      <w:snapToGrid w:val="0"/>
      <w:jc w:val="left"/>
    </w:pPr>
    <w:rPr>
      <w:sz w:val="18"/>
      <w:szCs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semiHidden/>
    <w:qFormat/>
    <w:uiPriority w:val="0"/>
  </w:style>
  <w:style w:type="paragraph" w:styleId="15">
    <w:name w:val="annotation subject"/>
    <w:basedOn w:val="5"/>
    <w:next w:val="5"/>
    <w:autoRedefine/>
    <w:semiHidden/>
    <w:qFormat/>
    <w:uiPriority w:val="0"/>
    <w:rPr>
      <w:b/>
      <w:bCs/>
    </w:rPr>
  </w:style>
  <w:style w:type="paragraph" w:styleId="16">
    <w:name w:val="Body Text First Indent 2"/>
    <w:basedOn w:val="7"/>
    <w:autoRedefine/>
    <w:qFormat/>
    <w:uiPriority w:val="0"/>
    <w:pPr>
      <w:ind w:firstLine="420" w:firstLineChars="200"/>
    </w:p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Char Char Char2 Char Char Char Char"/>
    <w:basedOn w:val="1"/>
    <w:link w:val="19"/>
    <w:autoRedefine/>
    <w:qFormat/>
    <w:uiPriority w:val="0"/>
    <w:pPr>
      <w:adjustRightInd w:val="0"/>
      <w:spacing w:line="360" w:lineRule="atLeast"/>
      <w:jc w:val="left"/>
      <w:textAlignment w:val="baseline"/>
    </w:pPr>
    <w:rPr>
      <w:rFonts w:ascii="Tahoma" w:hAnsi="Tahoma"/>
      <w:kern w:val="0"/>
      <w:sz w:val="24"/>
      <w:szCs w:val="20"/>
    </w:rPr>
  </w:style>
  <w:style w:type="character" w:styleId="21">
    <w:name w:val="Strong"/>
    <w:basedOn w:val="19"/>
    <w:autoRedefine/>
    <w:qFormat/>
    <w:uiPriority w:val="0"/>
    <w:rPr>
      <w:b/>
      <w:bCs/>
    </w:rPr>
  </w:style>
  <w:style w:type="character" w:styleId="22">
    <w:name w:val="page number"/>
    <w:basedOn w:val="19"/>
    <w:autoRedefine/>
    <w:qFormat/>
    <w:uiPriority w:val="0"/>
  </w:style>
  <w:style w:type="character" w:styleId="23">
    <w:name w:val="Hyperlink"/>
    <w:basedOn w:val="19"/>
    <w:autoRedefine/>
    <w:qFormat/>
    <w:uiPriority w:val="0"/>
    <w:rPr>
      <w:color w:val="0000FF"/>
      <w:u w:val="single"/>
    </w:rPr>
  </w:style>
  <w:style w:type="character" w:styleId="24">
    <w:name w:val="annotation reference"/>
    <w:basedOn w:val="19"/>
    <w:autoRedefine/>
    <w:semiHidden/>
    <w:qFormat/>
    <w:uiPriority w:val="0"/>
    <w:rPr>
      <w:sz w:val="21"/>
      <w:szCs w:val="21"/>
    </w:rPr>
  </w:style>
  <w:style w:type="paragraph" w:customStyle="1" w:styleId="25">
    <w:name w:val=" Char Char1 Char Char Char Char Char Char Char Char Char Char"/>
    <w:basedOn w:val="1"/>
    <w:autoRedefine/>
    <w:qFormat/>
    <w:uiPriority w:val="0"/>
    <w:pPr>
      <w:spacing w:line="360" w:lineRule="auto"/>
    </w:pPr>
    <w:rPr>
      <w:rFonts w:ascii="宋体"/>
      <w:spacing w:val="10"/>
      <w:kern w:val="2"/>
    </w:rPr>
  </w:style>
  <w:style w:type="character" w:customStyle="1" w:styleId="26">
    <w:name w:val="font21"/>
    <w:basedOn w:val="19"/>
    <w:autoRedefine/>
    <w:qFormat/>
    <w:uiPriority w:val="0"/>
    <w:rPr>
      <w:rFonts w:hint="eastAsia" w:ascii="宋体" w:hAnsi="宋体" w:eastAsia="宋体" w:cs="宋体"/>
      <w:color w:val="000000"/>
      <w:sz w:val="18"/>
      <w:szCs w:val="18"/>
      <w:u w:val="none"/>
    </w:rPr>
  </w:style>
  <w:style w:type="character" w:customStyle="1" w:styleId="27">
    <w:name w:val="font11"/>
    <w:basedOn w:val="19"/>
    <w:autoRedefine/>
    <w:qFormat/>
    <w:uiPriority w:val="0"/>
    <w:rPr>
      <w:rFonts w:hint="eastAsia" w:ascii="宋体" w:hAnsi="宋体" w:eastAsia="宋体" w:cs="宋体"/>
      <w:color w:val="000000"/>
      <w:sz w:val="24"/>
      <w:szCs w:val="24"/>
      <w:u w:val="none"/>
    </w:rPr>
  </w:style>
  <w:style w:type="character" w:customStyle="1" w:styleId="28">
    <w:name w:val="font01"/>
    <w:basedOn w:val="19"/>
    <w:autoRedefine/>
    <w:qFormat/>
    <w:uiPriority w:val="0"/>
    <w:rPr>
      <w:rFonts w:hint="eastAsia" w:ascii="宋体" w:hAnsi="宋体" w:eastAsia="宋体" w:cs="宋体"/>
      <w:color w:val="000000"/>
      <w:sz w:val="24"/>
      <w:szCs w:val="24"/>
      <w:u w:val="none"/>
      <w:vertAlign w:val="superscript"/>
    </w:rPr>
  </w:style>
  <w:style w:type="paragraph" w:customStyle="1" w:styleId="29">
    <w:name w:val="正文1"/>
    <w:autoRedefine/>
    <w:qFormat/>
    <w:uiPriority w:val="0"/>
    <w:pPr>
      <w:widowControl w:val="0"/>
      <w:adjustRightInd w:val="0"/>
      <w:spacing w:line="312" w:lineRule="atLeast"/>
      <w:jc w:val="both"/>
      <w:textAlignment w:val="baseline"/>
    </w:pPr>
    <w:rPr>
      <w:rFonts w:ascii="宋体" w:hAnsi="Calibri" w:eastAsia="宋体" w:cs="Times New Roman"/>
      <w:kern w:val="0"/>
      <w:sz w:val="34"/>
      <w:szCs w:val="22"/>
      <w:lang w:val="en-US" w:eastAsia="zh-CN" w:bidi="ar-SA"/>
    </w:rPr>
  </w:style>
  <w:style w:type="paragraph" w:customStyle="1" w:styleId="30">
    <w:name w:val=" Char"/>
    <w:basedOn w:val="1"/>
    <w:autoRedefine/>
    <w:qFormat/>
    <w:uiPriority w:val="0"/>
    <w:rPr>
      <w:rFonts w:ascii="Tahoma" w:hAnsi="Tahoma"/>
      <w:sz w:val="24"/>
      <w:szCs w:val="20"/>
    </w:rPr>
  </w:style>
  <w:style w:type="character" w:customStyle="1" w:styleId="31">
    <w:name w:val="font31"/>
    <w:basedOn w:val="19"/>
    <w:autoRedefine/>
    <w:qFormat/>
    <w:uiPriority w:val="0"/>
    <w:rPr>
      <w:rFonts w:hint="eastAsia" w:ascii="宋体" w:hAnsi="宋体" w:eastAsia="宋体" w:cs="宋体"/>
      <w:color w:val="000000"/>
      <w:sz w:val="20"/>
      <w:szCs w:val="20"/>
      <w:u w:val="none"/>
    </w:rPr>
  </w:style>
  <w:style w:type="character" w:customStyle="1" w:styleId="32">
    <w:name w:val="font41"/>
    <w:basedOn w:val="19"/>
    <w:autoRedefine/>
    <w:qFormat/>
    <w:uiPriority w:val="0"/>
    <w:rPr>
      <w:rFonts w:hint="default" w:ascii="Times New Roman" w:hAnsi="Times New Roman" w:cs="Times New Roman"/>
      <w:color w:val="000000"/>
      <w:sz w:val="21"/>
      <w:szCs w:val="21"/>
      <w:u w:val="single"/>
    </w:rPr>
  </w:style>
  <w:style w:type="character" w:customStyle="1" w:styleId="33">
    <w:name w:val="font81"/>
    <w:basedOn w:val="19"/>
    <w:autoRedefine/>
    <w:qFormat/>
    <w:uiPriority w:val="0"/>
    <w:rPr>
      <w:rFonts w:hint="eastAsia" w:ascii="宋体" w:hAnsi="宋体" w:eastAsia="宋体" w:cs="宋体"/>
      <w:color w:val="000000"/>
      <w:sz w:val="21"/>
      <w:szCs w:val="21"/>
      <w:u w:val="single"/>
    </w:rPr>
  </w:style>
  <w:style w:type="character" w:customStyle="1" w:styleId="34">
    <w:name w:val="font61"/>
    <w:basedOn w:val="19"/>
    <w:autoRedefine/>
    <w:qFormat/>
    <w:uiPriority w:val="0"/>
    <w:rPr>
      <w:rFonts w:hint="eastAsia" w:ascii="宋体" w:hAnsi="宋体" w:eastAsia="宋体" w:cs="宋体"/>
      <w:color w:val="000000"/>
      <w:sz w:val="20"/>
      <w:szCs w:val="20"/>
      <w:u w:val="none"/>
    </w:rPr>
  </w:style>
  <w:style w:type="character" w:customStyle="1" w:styleId="35">
    <w:name w:val="font101"/>
    <w:basedOn w:val="19"/>
    <w:autoRedefine/>
    <w:qFormat/>
    <w:uiPriority w:val="0"/>
    <w:rPr>
      <w:rFonts w:hint="eastAsia" w:ascii="宋体" w:hAnsi="宋体" w:eastAsia="宋体" w:cs="宋体"/>
      <w:color w:val="000000"/>
      <w:sz w:val="21"/>
      <w:szCs w:val="21"/>
      <w:u w:val="none"/>
    </w:rPr>
  </w:style>
  <w:style w:type="character" w:customStyle="1" w:styleId="36">
    <w:name w:val="font131"/>
    <w:basedOn w:val="19"/>
    <w:autoRedefine/>
    <w:qFormat/>
    <w:uiPriority w:val="0"/>
    <w:rPr>
      <w:rFonts w:hint="eastAsia" w:ascii="宋体" w:hAnsi="宋体" w:eastAsia="宋体" w:cs="宋体"/>
      <w:color w:val="000000"/>
      <w:sz w:val="22"/>
      <w:szCs w:val="22"/>
      <w:u w:val="single"/>
    </w:rPr>
  </w:style>
  <w:style w:type="character" w:customStyle="1" w:styleId="37">
    <w:name w:val="font91"/>
    <w:basedOn w:val="19"/>
    <w:autoRedefine/>
    <w:qFormat/>
    <w:uiPriority w:val="0"/>
    <w:rPr>
      <w:rFonts w:hint="eastAsia" w:ascii="宋体" w:hAnsi="宋体" w:eastAsia="宋体" w:cs="宋体"/>
      <w:color w:val="000000"/>
      <w:sz w:val="22"/>
      <w:szCs w:val="22"/>
      <w:u w:val="none"/>
    </w:rPr>
  </w:style>
  <w:style w:type="character" w:customStyle="1" w:styleId="38">
    <w:name w:val="font121"/>
    <w:basedOn w:val="19"/>
    <w:autoRedefine/>
    <w:qFormat/>
    <w:uiPriority w:val="0"/>
    <w:rPr>
      <w:rFonts w:hint="eastAsia" w:ascii="宋体" w:hAnsi="宋体" w:eastAsia="宋体" w:cs="宋体"/>
      <w:color w:val="000000"/>
      <w:sz w:val="24"/>
      <w:szCs w:val="24"/>
      <w:u w:val="none"/>
    </w:rPr>
  </w:style>
  <w:style w:type="character" w:customStyle="1" w:styleId="39">
    <w:name w:val="font71"/>
    <w:basedOn w:val="19"/>
    <w:autoRedefine/>
    <w:qFormat/>
    <w:uiPriority w:val="0"/>
    <w:rPr>
      <w:rFonts w:hint="eastAsia" w:ascii="宋体" w:hAnsi="宋体" w:eastAsia="宋体" w:cs="宋体"/>
      <w:color w:val="000000"/>
      <w:sz w:val="18"/>
      <w:szCs w:val="18"/>
      <w:u w:val="none"/>
    </w:rPr>
  </w:style>
  <w:style w:type="character" w:customStyle="1" w:styleId="40">
    <w:name w:val="font112"/>
    <w:basedOn w:val="19"/>
    <w:autoRedefine/>
    <w:qFormat/>
    <w:uiPriority w:val="0"/>
    <w:rPr>
      <w:rFonts w:hint="eastAsia" w:ascii="宋体" w:hAnsi="宋体" w:eastAsia="宋体" w:cs="宋体"/>
      <w:color w:val="000000"/>
      <w:sz w:val="24"/>
      <w:szCs w:val="24"/>
      <w:u w:val="none"/>
    </w:rPr>
  </w:style>
  <w:style w:type="paragraph" w:customStyle="1" w:styleId="41">
    <w:name w:val="p0"/>
    <w:basedOn w:val="1"/>
    <w:qFormat/>
    <w:uiPriority w:val="0"/>
    <w:pPr>
      <w:widowControl/>
    </w:pPr>
    <w:rPr>
      <w:kern w:val="0"/>
      <w:szCs w:val="21"/>
    </w:rPr>
  </w:style>
  <w:style w:type="character" w:customStyle="1" w:styleId="42">
    <w:name w:val="标题 1 Char"/>
    <w:link w:val="2"/>
    <w:qFormat/>
    <w:uiPriority w:val="0"/>
    <w:rPr>
      <w:b/>
      <w:bCs/>
      <w:kern w:val="44"/>
      <w:sz w:val="44"/>
      <w:szCs w:val="44"/>
    </w:rPr>
  </w:style>
  <w:style w:type="paragraph" w:customStyle="1" w:styleId="43">
    <w:name w:val="List Paragraph_6581f09e-f95e-42d3-9703-0d96984a80d6"/>
    <w:basedOn w:val="1"/>
    <w:qFormat/>
    <w:uiPriority w:val="34"/>
    <w:pPr>
      <w:ind w:firstLine="420" w:firstLineChars="200"/>
    </w:pPr>
  </w:style>
  <w:style w:type="paragraph" w:styleId="44">
    <w:name w:val="List Paragraph"/>
    <w:basedOn w:val="1"/>
    <w:qFormat/>
    <w:uiPriority w:val="99"/>
    <w:pPr>
      <w:ind w:firstLine="420" w:firstLineChars="200"/>
    </w:pPr>
  </w:style>
  <w:style w:type="table" w:customStyle="1" w:styleId="45">
    <w:name w:val="Table Normal"/>
    <w:semiHidden/>
    <w:unhideWhenUsed/>
    <w:qFormat/>
    <w:uiPriority w:val="0"/>
    <w:tblPr>
      <w:tblCellMar>
        <w:top w:w="0" w:type="dxa"/>
        <w:left w:w="0" w:type="dxa"/>
        <w:bottom w:w="0" w:type="dxa"/>
        <w:right w:w="0" w:type="dxa"/>
      </w:tblCellMar>
    </w:tblPr>
  </w:style>
  <w:style w:type="paragraph" w:customStyle="1" w:styleId="46">
    <w:name w:val="Table Text"/>
    <w:basedOn w:val="1"/>
    <w:semiHidden/>
    <w:qFormat/>
    <w:uiPriority w:val="0"/>
    <w:rPr>
      <w:rFonts w:ascii="宋体" w:hAnsi="宋体" w:eastAsia="宋体" w:cs="宋体"/>
      <w:sz w:val="24"/>
      <w:szCs w:val="24"/>
      <w:lang w:val="en-US" w:eastAsia="en-US" w:bidi="ar-SA"/>
    </w:rPr>
  </w:style>
  <w:style w:type="paragraph" w:customStyle="1" w:styleId="47">
    <w:name w:val="纯文本1"/>
    <w:basedOn w:val="1"/>
    <w:autoRedefine/>
    <w:qFormat/>
    <w:uiPriority w:val="0"/>
    <w:rPr>
      <w:rFonts w:hAnsi="Courier New"/>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xycomputer co.,ltd</Company>
  <Pages>51</Pages>
  <Words>27683</Words>
  <Characters>29168</Characters>
  <Lines>179</Lines>
  <Paragraphs>50</Paragraphs>
  <TotalTime>204</TotalTime>
  <ScaleCrop>false</ScaleCrop>
  <LinksUpToDate>false</LinksUpToDate>
  <CharactersWithSpaces>31013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2008-08-04T08:22:00Z</dcterms:created>
  <dc:creator>computer</dc:creator>
  <cp:lastModifiedBy>●﹏●</cp:lastModifiedBy>
  <cp:lastPrinted>2020-02-14T01:50:00Z</cp:lastPrinted>
  <dcterms:modified xsi:type="dcterms:W3CDTF">2025-06-24T06:36:28Z</dcterms:modified>
  <dc:title>分包行为管理规定</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2F4CD480D2144B31951024B42DDE5486_13</vt:lpwstr>
  </property>
  <property fmtid="{D5CDD505-2E9C-101B-9397-08002B2CF9AE}" pid="4" name="KSOTemplateDocerSaveRecord">
    <vt:lpwstr>eyJoZGlkIjoiN2Q4YmQ3NzI3NWMwZTE5ZjFlZWUzMGFjNGFiYmY2NzkiLCJ1c2VySWQiOiI3MzIwODEzOTIifQ==</vt:lpwstr>
  </property>
</Properties>
</file>