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eastAsia="黑体"/>
          <w:color w:val="000000"/>
          <w:spacing w:val="-6"/>
          <w:sz w:val="28"/>
          <w:szCs w:val="28"/>
        </w:rPr>
      </w:pPr>
      <w:r>
        <w:rPr>
          <w:rFonts w:hint="eastAsia" w:ascii="黑体" w:eastAsia="黑体"/>
          <w:color w:val="000000"/>
          <w:spacing w:val="-6"/>
          <w:sz w:val="28"/>
          <w:szCs w:val="28"/>
        </w:rPr>
        <w:t>福建省工业设备安装有限公司</w:t>
      </w:r>
    </w:p>
    <w:p>
      <w:pPr>
        <w:tabs>
          <w:tab w:val="center" w:pos="4252"/>
          <w:tab w:val="right" w:pos="8504"/>
        </w:tabs>
        <w:spacing w:line="360" w:lineRule="auto"/>
        <w:jc w:val="center"/>
        <w:rPr>
          <w:rFonts w:ascii="仿宋_GB2312" w:eastAsia="仿宋_GB2312"/>
          <w:color w:val="000000"/>
          <w:spacing w:val="-6"/>
          <w:sz w:val="24"/>
          <w:szCs w:val="24"/>
          <w:u w:val="single"/>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hint="eastAsia" w:ascii="黑体" w:hAnsi="仿宋_GB2312" w:eastAsia="黑体"/>
          <w:b/>
          <w:kern w:val="0"/>
          <w:sz w:val="24"/>
          <w:szCs w:val="24"/>
          <w:u w:val="single"/>
        </w:rPr>
      </w:pPr>
    </w:p>
    <w:p>
      <w:pPr>
        <w:spacing w:line="360" w:lineRule="auto"/>
        <w:jc w:val="center"/>
        <w:rPr>
          <w:rFonts w:hint="eastAsia" w:ascii="宋体" w:hAnsi="宋体" w:cs="宋体"/>
          <w:b/>
          <w:sz w:val="36"/>
          <w:szCs w:val="36"/>
        </w:rPr>
      </w:pPr>
      <w:r>
        <w:rPr>
          <w:rFonts w:hint="eastAsia" w:ascii="宋体" w:hAnsi="宋体" w:cs="宋体"/>
          <w:b/>
          <w:sz w:val="36"/>
          <w:szCs w:val="36"/>
        </w:rPr>
        <w:t>福建福海创石油化工有限公司原料适应性技改项目二标段50万吨/年重芳烃轻质化装置（含相应区域总图及综合管线）工程</w:t>
      </w:r>
    </w:p>
    <w:p>
      <w:pPr>
        <w:spacing w:line="360" w:lineRule="auto"/>
        <w:jc w:val="center"/>
        <w:rPr>
          <w:rFonts w:hint="eastAsia" w:ascii="宋体" w:hAnsi="宋体" w:cs="宋体"/>
          <w:b/>
          <w:sz w:val="36"/>
          <w:szCs w:val="36"/>
        </w:rPr>
      </w:pPr>
      <w:r>
        <w:rPr>
          <w:rFonts w:hint="eastAsia" w:ascii="宋体" w:hAnsi="宋体" w:cs="宋体"/>
          <w:b/>
          <w:sz w:val="36"/>
          <w:szCs w:val="36"/>
        </w:rPr>
        <w:t>大型设备吊装工程</w:t>
      </w:r>
    </w:p>
    <w:p>
      <w:pPr>
        <w:spacing w:line="360" w:lineRule="auto"/>
        <w:jc w:val="center"/>
        <w:rPr>
          <w:rFonts w:hint="eastAsia" w:ascii="宋体" w:hAnsi="宋体" w:cs="宋体"/>
          <w:b/>
          <w:sz w:val="36"/>
          <w:szCs w:val="36"/>
        </w:rPr>
      </w:pPr>
    </w:p>
    <w:p>
      <w:pPr>
        <w:spacing w:line="360" w:lineRule="auto"/>
        <w:jc w:val="center"/>
        <w:rPr>
          <w:rFonts w:hint="eastAsia" w:ascii="宋体" w:hAnsi="宋体" w:cs="宋体"/>
          <w:b/>
          <w:sz w:val="36"/>
          <w:szCs w:val="36"/>
        </w:rPr>
      </w:pPr>
      <w:r>
        <w:rPr>
          <w:rFonts w:hint="eastAsia" w:ascii="宋体" w:hAnsi="宋体" w:cs="宋体"/>
          <w:b/>
          <w:sz w:val="36"/>
          <w:szCs w:val="36"/>
        </w:rPr>
        <w:t>施工招标书</w:t>
      </w:r>
    </w:p>
    <w:p>
      <w:pPr>
        <w:spacing w:line="360" w:lineRule="auto"/>
        <w:jc w:val="center"/>
        <w:rPr>
          <w:rFonts w:ascii="仿宋_GB2312" w:eastAsia="仿宋_GB2312"/>
          <w:color w:val="000000"/>
          <w:spacing w:val="-6"/>
          <w:sz w:val="24"/>
          <w:szCs w:val="24"/>
        </w:rPr>
      </w:pPr>
      <w:r>
        <w:rPr>
          <w:rFonts w:ascii="仿宋_GB2312" w:eastAsia="仿宋_GB2312"/>
          <w:color w:val="000000"/>
          <w:spacing w:val="-6"/>
          <w:sz w:val="24"/>
          <w:szCs w:val="24"/>
        </w:rPr>
        <w:t xml:space="preserve">                    </w:t>
      </w: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sdt>
      <w:sdtPr>
        <w:rPr>
          <w:rFonts w:ascii="Times New Roman" w:hAnsi="Times New Roman" w:eastAsia="宋体" w:cs="Times New Roman"/>
          <w:color w:val="auto"/>
          <w:kern w:val="2"/>
          <w:sz w:val="21"/>
          <w:szCs w:val="20"/>
          <w:lang w:val="zh-CN"/>
        </w:rPr>
        <w:id w:val="-761523930"/>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28"/>
            <w:jc w:val="center"/>
            <w:rPr>
              <w:rFonts w:hint="eastAsia" w:ascii="宋体" w:hAnsi="宋体" w:eastAsia="宋体"/>
              <w:b/>
              <w:bCs/>
              <w:color w:val="auto"/>
              <w:sz w:val="36"/>
              <w:szCs w:val="36"/>
            </w:rPr>
          </w:pPr>
          <w:r>
            <w:rPr>
              <w:rFonts w:ascii="宋体" w:hAnsi="宋体" w:eastAsia="宋体"/>
              <w:b/>
              <w:bCs/>
              <w:color w:val="auto"/>
              <w:sz w:val="36"/>
              <w:szCs w:val="36"/>
              <w:lang w:val="zh-CN"/>
            </w:rPr>
            <w:t>目录</w:t>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rPr>
              <w:rFonts w:asciiTheme="minorEastAsia" w:hAnsiTheme="minorEastAsia" w:eastAsiaTheme="minorEastAsia"/>
              <w:sz w:val="30"/>
              <w:szCs w:val="30"/>
            </w:rPr>
            <w:fldChar w:fldCharType="begin"/>
          </w:r>
          <w:r>
            <w:rPr>
              <w:rFonts w:asciiTheme="minorEastAsia" w:hAnsiTheme="minorEastAsia" w:eastAsiaTheme="minorEastAsia"/>
              <w:sz w:val="30"/>
              <w:szCs w:val="30"/>
            </w:rPr>
            <w:instrText xml:space="preserve"> TOC \o "1-3" \h \z \u </w:instrText>
          </w:r>
          <w:r>
            <w:rPr>
              <w:rFonts w:asciiTheme="minorEastAsia" w:hAnsiTheme="minorEastAsia" w:eastAsiaTheme="minorEastAsia"/>
              <w:sz w:val="30"/>
              <w:szCs w:val="30"/>
            </w:rPr>
            <w:fldChar w:fldCharType="separate"/>
          </w:r>
          <w:r>
            <w:fldChar w:fldCharType="begin"/>
          </w:r>
          <w:r>
            <w:instrText xml:space="preserve"> HYPERLINK \l "_Toc192084501" </w:instrText>
          </w:r>
          <w:r>
            <w:fldChar w:fldCharType="separate"/>
          </w:r>
          <w:r>
            <w:rPr>
              <w:rStyle w:val="17"/>
              <w:rFonts w:hint="eastAsia" w:asciiTheme="minorEastAsia" w:hAnsiTheme="minorEastAsia" w:eastAsiaTheme="minorEastAsia"/>
              <w:spacing w:val="-6"/>
              <w:sz w:val="30"/>
              <w:szCs w:val="30"/>
            </w:rPr>
            <w:t>前附表</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_Toc192084501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3</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"_Toc192084502" </w:instrText>
          </w:r>
          <w:r>
            <w:fldChar w:fldCharType="separate"/>
          </w:r>
          <w:r>
            <w:rPr>
              <w:rStyle w:val="17"/>
              <w:rFonts w:hint="eastAsia" w:asciiTheme="minorEastAsia" w:hAnsiTheme="minorEastAsia" w:eastAsiaTheme="minorEastAsia"/>
              <w:sz w:val="30"/>
              <w:szCs w:val="30"/>
            </w:rPr>
            <w:t>一、总则</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_Toc192084502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4</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"_Toc192084503" </w:instrText>
          </w:r>
          <w:r>
            <w:fldChar w:fldCharType="separate"/>
          </w:r>
          <w:r>
            <w:rPr>
              <w:rStyle w:val="17"/>
              <w:rFonts w:hint="eastAsia" w:asciiTheme="minorEastAsia" w:hAnsiTheme="minorEastAsia" w:eastAsiaTheme="minorEastAsia"/>
              <w:sz w:val="30"/>
              <w:szCs w:val="30"/>
            </w:rPr>
            <w:t>二、踏勘现场</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_Toc192084503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4</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"_Toc192084504" </w:instrText>
          </w:r>
          <w:r>
            <w:fldChar w:fldCharType="separate"/>
          </w:r>
          <w:r>
            <w:rPr>
              <w:rStyle w:val="17"/>
              <w:rFonts w:hint="eastAsia" w:asciiTheme="minorEastAsia" w:hAnsiTheme="minorEastAsia" w:eastAsiaTheme="minorEastAsia"/>
              <w:sz w:val="30"/>
              <w:szCs w:val="30"/>
            </w:rPr>
            <w:t>三、工程概述</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_Toc192084504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5</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"_Toc192084505" </w:instrText>
          </w:r>
          <w:r>
            <w:fldChar w:fldCharType="separate"/>
          </w:r>
          <w:r>
            <w:rPr>
              <w:rStyle w:val="17"/>
              <w:rFonts w:hint="eastAsia" w:asciiTheme="minorEastAsia" w:hAnsiTheme="minorEastAsia" w:eastAsiaTheme="minorEastAsia"/>
              <w:sz w:val="30"/>
              <w:szCs w:val="30"/>
            </w:rPr>
            <w:t>四、计划工期</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_Toc192084505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5</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"_Toc192084506" </w:instrText>
          </w:r>
          <w:r>
            <w:fldChar w:fldCharType="separate"/>
          </w:r>
          <w:r>
            <w:rPr>
              <w:rStyle w:val="17"/>
              <w:rFonts w:hint="eastAsia" w:asciiTheme="minorEastAsia" w:hAnsiTheme="minorEastAsia" w:eastAsiaTheme="minorEastAsia"/>
              <w:sz w:val="30"/>
              <w:szCs w:val="30"/>
            </w:rPr>
            <w:t>五、工程内容与范围</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_Toc192084506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6</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"_Toc192084507" </w:instrText>
          </w:r>
          <w:r>
            <w:fldChar w:fldCharType="separate"/>
          </w:r>
          <w:r>
            <w:rPr>
              <w:rStyle w:val="17"/>
              <w:rFonts w:hint="eastAsia" w:asciiTheme="minorEastAsia" w:hAnsiTheme="minorEastAsia" w:eastAsiaTheme="minorEastAsia"/>
              <w:sz w:val="30"/>
              <w:szCs w:val="30"/>
            </w:rPr>
            <w:t>六、机械、材料供应</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_Toc192084507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7</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"_Toc192084508" </w:instrText>
          </w:r>
          <w:r>
            <w:fldChar w:fldCharType="separate"/>
          </w:r>
          <w:r>
            <w:rPr>
              <w:rStyle w:val="17"/>
              <w:rFonts w:hint="eastAsia" w:asciiTheme="minorEastAsia" w:hAnsiTheme="minorEastAsia" w:eastAsiaTheme="minorEastAsia"/>
              <w:sz w:val="30"/>
              <w:szCs w:val="30"/>
            </w:rPr>
            <w:t>七、投标报价</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_Toc192084508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8</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"_Toc192084509" </w:instrText>
          </w:r>
          <w:r>
            <w:fldChar w:fldCharType="separate"/>
          </w:r>
          <w:r>
            <w:rPr>
              <w:rStyle w:val="17"/>
              <w:rFonts w:hint="eastAsia" w:asciiTheme="minorEastAsia" w:hAnsiTheme="minorEastAsia" w:eastAsiaTheme="minorEastAsia"/>
              <w:sz w:val="30"/>
              <w:szCs w:val="30"/>
            </w:rPr>
            <w:t>八、特殊说明</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_Toc192084509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12</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pPr>
            <w:pStyle w:val="10"/>
            <w:tabs>
              <w:tab w:val="right" w:leader="dot" w:pos="8296"/>
            </w:tabs>
            <w:rPr>
              <w:rFonts w:hint="eastAsia" w:asciiTheme="minorEastAsia" w:hAnsiTheme="minorEastAsia" w:eastAsiaTheme="minorEastAsia" w:cstheme="minorBidi"/>
              <w:kern w:val="2"/>
              <w:sz w:val="30"/>
              <w:szCs w:val="30"/>
              <w14:ligatures w14:val="standardContextual"/>
            </w:rPr>
          </w:pPr>
          <w:r>
            <w:fldChar w:fldCharType="begin"/>
          </w:r>
          <w:r>
            <w:instrText xml:space="preserve"> HYPERLINK \l "_Toc192084510" </w:instrText>
          </w:r>
          <w:r>
            <w:fldChar w:fldCharType="separate"/>
          </w:r>
          <w:r>
            <w:rPr>
              <w:rStyle w:val="17"/>
              <w:rFonts w:hint="eastAsia" w:asciiTheme="minorEastAsia" w:hAnsiTheme="minorEastAsia" w:eastAsiaTheme="minorEastAsia"/>
              <w:sz w:val="30"/>
              <w:szCs w:val="30"/>
            </w:rPr>
            <w:t>九、技术要求</w:t>
          </w:r>
          <w:r>
            <w:rPr>
              <w:rFonts w:hint="eastAsia" w:asciiTheme="minorEastAsia" w:hAnsiTheme="minorEastAsia" w:eastAsiaTheme="minorEastAsia"/>
              <w:sz w:val="30"/>
              <w:szCs w:val="30"/>
            </w:rPr>
            <w:tab/>
          </w:r>
          <w:r>
            <w:rPr>
              <w:rFonts w:hint="eastAsia" w:asciiTheme="minorEastAsia" w:hAnsiTheme="minorEastAsia" w:eastAsiaTheme="minorEastAsia"/>
              <w:sz w:val="30"/>
              <w:szCs w:val="30"/>
            </w:rPr>
            <w:fldChar w:fldCharType="begin"/>
          </w:r>
          <w:r>
            <w:rPr>
              <w:rFonts w:hint="eastAsia" w:asciiTheme="minorEastAsia" w:hAnsiTheme="minorEastAsia" w:eastAsiaTheme="minorEastAsia"/>
              <w:sz w:val="30"/>
              <w:szCs w:val="30"/>
            </w:rPr>
            <w:instrText xml:space="preserve"> </w:instrText>
          </w:r>
          <w:r>
            <w:rPr>
              <w:rFonts w:asciiTheme="minorEastAsia" w:hAnsiTheme="minorEastAsia" w:eastAsiaTheme="minorEastAsia"/>
              <w:sz w:val="30"/>
              <w:szCs w:val="30"/>
            </w:rPr>
            <w:instrText xml:space="preserve">PAGEREF _Toc192084510 \h</w:instrText>
          </w:r>
          <w:r>
            <w:rPr>
              <w:rFonts w:hint="eastAsia" w:asciiTheme="minorEastAsia" w:hAnsiTheme="minorEastAsia" w:eastAsiaTheme="minorEastAsia"/>
              <w:sz w:val="30"/>
              <w:szCs w:val="30"/>
            </w:rPr>
            <w:instrText xml:space="preserve"> </w:instrText>
          </w:r>
          <w:r>
            <w:rPr>
              <w:rFonts w:hint="eastAsia" w:asciiTheme="minorEastAsia" w:hAnsiTheme="minorEastAsia" w:eastAsiaTheme="minorEastAsia"/>
              <w:sz w:val="30"/>
              <w:szCs w:val="30"/>
            </w:rPr>
            <w:fldChar w:fldCharType="separate"/>
          </w:r>
          <w:r>
            <w:rPr>
              <w:rFonts w:hint="eastAsia" w:asciiTheme="minorEastAsia" w:hAnsiTheme="minorEastAsia" w:eastAsiaTheme="minorEastAsia"/>
              <w:sz w:val="30"/>
              <w:szCs w:val="30"/>
            </w:rPr>
            <w:t>15</w:t>
          </w:r>
          <w:r>
            <w:rPr>
              <w:rFonts w:hint="eastAsia" w:asciiTheme="minorEastAsia" w:hAnsiTheme="minorEastAsia" w:eastAsiaTheme="minorEastAsia"/>
              <w:sz w:val="30"/>
              <w:szCs w:val="30"/>
            </w:rPr>
            <w:fldChar w:fldCharType="end"/>
          </w:r>
          <w:r>
            <w:rPr>
              <w:rFonts w:hint="eastAsia" w:asciiTheme="minorEastAsia" w:hAnsiTheme="minorEastAsia" w:eastAsiaTheme="minorEastAsia"/>
              <w:sz w:val="30"/>
              <w:szCs w:val="30"/>
            </w:rPr>
            <w:fldChar w:fldCharType="end"/>
          </w:r>
        </w:p>
        <w:p>
          <w:r>
            <w:rPr>
              <w:rFonts w:asciiTheme="minorEastAsia" w:hAnsiTheme="minorEastAsia" w:eastAsiaTheme="minorEastAsia"/>
              <w:b/>
              <w:bCs/>
              <w:sz w:val="30"/>
              <w:szCs w:val="30"/>
              <w:lang w:val="zh-CN"/>
            </w:rPr>
            <w:fldChar w:fldCharType="end"/>
          </w:r>
        </w:p>
      </w:sdtContent>
    </w:sdt>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spacing w:line="360" w:lineRule="auto"/>
        <w:rPr>
          <w:rFonts w:ascii="仿宋_GB2312" w:eastAsia="仿宋_GB2312"/>
          <w:color w:val="000000"/>
          <w:spacing w:val="-6"/>
          <w:sz w:val="24"/>
          <w:szCs w:val="24"/>
        </w:rPr>
      </w:pPr>
    </w:p>
    <w:p>
      <w:pPr>
        <w:pStyle w:val="2"/>
        <w:ind w:left="0" w:leftChars="0" w:firstLine="480"/>
      </w:pPr>
    </w:p>
    <w:p>
      <w:pPr>
        <w:spacing w:line="360" w:lineRule="auto"/>
        <w:jc w:val="center"/>
        <w:rPr>
          <w:rFonts w:hint="eastAsia" w:ascii="宋体" w:hAnsi="宋体"/>
          <w:b/>
          <w:bCs/>
          <w:color w:val="000000"/>
          <w:sz w:val="28"/>
          <w:szCs w:val="28"/>
        </w:rPr>
      </w:pPr>
      <w:r>
        <w:rPr>
          <w:rFonts w:hint="eastAsia" w:ascii="宋体" w:hAnsi="宋体"/>
          <w:b/>
          <w:bCs/>
          <w:color w:val="000000"/>
          <w:sz w:val="28"/>
          <w:szCs w:val="28"/>
        </w:rPr>
        <w:t>投标须知</w:t>
      </w:r>
    </w:p>
    <w:p>
      <w:pPr>
        <w:spacing w:line="360" w:lineRule="auto"/>
        <w:jc w:val="center"/>
        <w:outlineLvl w:val="0"/>
        <w:rPr>
          <w:rFonts w:hint="eastAsia" w:ascii="宋体" w:hAnsi="宋体"/>
          <w:color w:val="000000"/>
          <w:spacing w:val="-6"/>
          <w:sz w:val="24"/>
          <w:szCs w:val="24"/>
        </w:rPr>
      </w:pPr>
      <w:bookmarkStart w:id="0" w:name="_Toc192084501"/>
      <w:r>
        <w:rPr>
          <w:rFonts w:hint="eastAsia" w:ascii="宋体" w:hAnsi="宋体"/>
          <w:color w:val="000000"/>
          <w:spacing w:val="-6"/>
          <w:sz w:val="24"/>
          <w:szCs w:val="24"/>
        </w:rPr>
        <w:t>前附表</w:t>
      </w:r>
      <w:bookmarkEnd w:id="0"/>
    </w:p>
    <w:tbl>
      <w:tblPr>
        <w:tblStyle w:val="14"/>
        <w:tblW w:w="94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2342"/>
        <w:gridCol w:w="6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序号</w:t>
            </w:r>
          </w:p>
        </w:tc>
        <w:tc>
          <w:tcPr>
            <w:tcW w:w="2342"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项</w:t>
            </w:r>
            <w:r>
              <w:rPr>
                <w:rFonts w:ascii="宋体" w:hAnsi="宋体"/>
                <w:color w:val="000000"/>
                <w:sz w:val="24"/>
                <w:szCs w:val="24"/>
              </w:rPr>
              <w:t xml:space="preserve">    </w:t>
            </w:r>
            <w:r>
              <w:rPr>
                <w:rFonts w:hint="eastAsia" w:ascii="宋体" w:hAnsi="宋体"/>
                <w:color w:val="000000"/>
                <w:sz w:val="24"/>
                <w:szCs w:val="24"/>
              </w:rPr>
              <w:t>目</w:t>
            </w:r>
          </w:p>
        </w:tc>
        <w:tc>
          <w:tcPr>
            <w:tcW w:w="6050" w:type="dxa"/>
          </w:tcPr>
          <w:p>
            <w:pPr>
              <w:spacing w:line="360" w:lineRule="auto"/>
              <w:jc w:val="center"/>
              <w:rPr>
                <w:rFonts w:hint="eastAsia" w:ascii="宋体" w:hAnsi="宋体"/>
                <w:color w:val="000000"/>
                <w:sz w:val="24"/>
                <w:szCs w:val="24"/>
              </w:rPr>
            </w:pPr>
            <w:r>
              <w:rPr>
                <w:rFonts w:hint="eastAsia" w:ascii="宋体" w:hAnsi="宋体"/>
                <w:color w:val="000000"/>
                <w:sz w:val="24"/>
                <w:szCs w:val="24"/>
              </w:rPr>
              <w:t>内</w:t>
            </w:r>
            <w:r>
              <w:rPr>
                <w:rFonts w:ascii="宋体" w:hAnsi="宋体"/>
                <w:color w:val="000000"/>
                <w:sz w:val="24"/>
                <w:szCs w:val="24"/>
              </w:rPr>
              <w:t xml:space="preserve">    </w:t>
            </w:r>
            <w:r>
              <w:rPr>
                <w:rFonts w:hint="eastAsia" w:ascii="宋体" w:hAnsi="宋体"/>
                <w:color w:val="000000"/>
                <w:sz w:val="24"/>
                <w:szCs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trPr>
        <w:tc>
          <w:tcPr>
            <w:tcW w:w="1094" w:type="dxa"/>
            <w:vAlign w:val="center"/>
          </w:tcPr>
          <w:p>
            <w:pPr>
              <w:spacing w:line="360" w:lineRule="auto"/>
              <w:jc w:val="center"/>
              <w:rPr>
                <w:rFonts w:hint="eastAsia" w:ascii="宋体" w:hAnsi="宋体"/>
                <w:color w:val="000000"/>
                <w:sz w:val="24"/>
                <w:szCs w:val="24"/>
              </w:rPr>
            </w:pPr>
            <w:r>
              <w:rPr>
                <w:rFonts w:ascii="宋体" w:hAnsi="宋体"/>
                <w:color w:val="000000"/>
                <w:sz w:val="24"/>
                <w:szCs w:val="24"/>
              </w:rPr>
              <w:t>1</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招标工程及工程所在地</w:t>
            </w:r>
          </w:p>
        </w:tc>
        <w:tc>
          <w:tcPr>
            <w:tcW w:w="6050" w:type="dxa"/>
            <w:vAlign w:val="center"/>
          </w:tcPr>
          <w:p>
            <w:pPr>
              <w:snapToGrid w:val="0"/>
              <w:spacing w:line="360" w:lineRule="auto"/>
              <w:jc w:val="left"/>
              <w:rPr>
                <w:rFonts w:hint="eastAsia" w:ascii="仿宋" w:hAnsi="仿宋" w:cs="仿宋"/>
                <w:color w:val="0000FF"/>
                <w:sz w:val="28"/>
                <w:szCs w:val="28"/>
              </w:rPr>
            </w:pPr>
            <w:r>
              <w:rPr>
                <w:rFonts w:hint="eastAsia" w:ascii="宋体" w:hAnsi="宋体"/>
                <w:color w:val="000000"/>
                <w:sz w:val="24"/>
                <w:szCs w:val="24"/>
              </w:rPr>
              <w:t xml:space="preserve">招标工程: </w:t>
            </w:r>
            <w:r>
              <w:rPr>
                <w:rFonts w:hint="eastAsia" w:ascii="宋体" w:hAnsi="宋体"/>
                <w:color w:val="0000FF"/>
                <w:sz w:val="24"/>
                <w:szCs w:val="24"/>
              </w:rPr>
              <w:t>福建福海创石油化工有限公司原料适应性技改项目-脚手架装工程</w:t>
            </w:r>
          </w:p>
          <w:p>
            <w:pPr>
              <w:tabs>
                <w:tab w:val="left" w:pos="3564"/>
              </w:tabs>
              <w:spacing w:line="360" w:lineRule="auto"/>
              <w:jc w:val="left"/>
              <w:rPr>
                <w:rFonts w:hint="eastAsia" w:ascii="宋体" w:hAnsi="宋体"/>
                <w:color w:val="000000"/>
                <w:sz w:val="24"/>
                <w:szCs w:val="24"/>
              </w:rPr>
            </w:pPr>
            <w:r>
              <w:rPr>
                <w:rFonts w:hint="eastAsia" w:ascii="宋体" w:hAnsi="宋体"/>
                <w:color w:val="0000FF"/>
                <w:sz w:val="24"/>
                <w:szCs w:val="24"/>
              </w:rPr>
              <w:t>工程所在地：福建省漳州市古雷经济开发区PX厂区内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2</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甲方</w:t>
            </w:r>
          </w:p>
        </w:tc>
        <w:tc>
          <w:tcPr>
            <w:tcW w:w="6050"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福建省工业设备安装有限公司厦门分公司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3</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招标文件售价</w:t>
            </w:r>
          </w:p>
        </w:tc>
        <w:tc>
          <w:tcPr>
            <w:tcW w:w="6050"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人民币</w:t>
            </w:r>
            <w:r>
              <w:rPr>
                <w:rFonts w:hint="eastAsia" w:ascii="宋体" w:hAnsi="宋体"/>
                <w:color w:val="000000"/>
                <w:sz w:val="24"/>
                <w:szCs w:val="24"/>
                <w:u w:val="single"/>
              </w:rPr>
              <w:t xml:space="preserve"> / </w:t>
            </w:r>
            <w:r>
              <w:rPr>
                <w:rFonts w:hint="eastAsia" w:ascii="宋体" w:hAnsi="宋体"/>
                <w:color w:val="000000"/>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4</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合同名称</w:t>
            </w:r>
          </w:p>
        </w:tc>
        <w:tc>
          <w:tcPr>
            <w:tcW w:w="6050" w:type="dxa"/>
            <w:vAlign w:val="center"/>
          </w:tcPr>
          <w:p>
            <w:pPr>
              <w:spacing w:line="360" w:lineRule="auto"/>
              <w:jc w:val="left"/>
              <w:rPr>
                <w:rFonts w:hint="eastAsia" w:ascii="宋体" w:hAnsi="宋体"/>
                <w:color w:val="000000"/>
                <w:sz w:val="24"/>
                <w:szCs w:val="24"/>
              </w:rPr>
            </w:pPr>
            <w:r>
              <w:rPr>
                <w:rFonts w:hint="eastAsia" w:ascii="宋体" w:hAnsi="宋体"/>
                <w:color w:val="0000FF"/>
                <w:sz w:val="24"/>
                <w:szCs w:val="24"/>
              </w:rPr>
              <w:t>福建福海创石油化工有限公司原料适应性技改项目-大型设备吊装工程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5</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时间安排</w:t>
            </w:r>
          </w:p>
        </w:tc>
        <w:tc>
          <w:tcPr>
            <w:tcW w:w="6050" w:type="dxa"/>
            <w:vAlign w:val="center"/>
          </w:tcPr>
          <w:p>
            <w:pPr>
              <w:spacing w:line="360" w:lineRule="auto"/>
              <w:jc w:val="left"/>
              <w:rPr>
                <w:rFonts w:hint="eastAsia" w:ascii="宋体" w:hAnsi="宋体"/>
                <w:color w:val="000000"/>
                <w:sz w:val="24"/>
                <w:szCs w:val="24"/>
              </w:rPr>
            </w:pPr>
            <w:r>
              <w:rPr>
                <w:rFonts w:hint="eastAsia" w:ascii="宋体" w:hAnsi="宋体"/>
                <w:color w:val="000000"/>
                <w:sz w:val="24"/>
                <w:szCs w:val="24"/>
              </w:rPr>
              <w:t>发售意向书：闽安通平台</w:t>
            </w:r>
          </w:p>
          <w:p>
            <w:pPr>
              <w:spacing w:line="360" w:lineRule="auto"/>
              <w:jc w:val="left"/>
              <w:rPr>
                <w:rFonts w:hint="eastAsia" w:ascii="宋体" w:hAnsi="宋体"/>
                <w:color w:val="000000"/>
                <w:sz w:val="24"/>
                <w:szCs w:val="24"/>
              </w:rPr>
            </w:pPr>
            <w:r>
              <w:rPr>
                <w:rFonts w:hint="eastAsia" w:ascii="宋体" w:hAnsi="宋体"/>
                <w:color w:val="000000"/>
                <w:sz w:val="24"/>
                <w:szCs w:val="24"/>
              </w:rPr>
              <w:t>地点：福建省工业设备安装有限公司厦门分公司</w:t>
            </w:r>
          </w:p>
          <w:p>
            <w:pPr>
              <w:spacing w:line="360" w:lineRule="auto"/>
              <w:ind w:left="1080" w:hanging="1080" w:hangingChars="450"/>
              <w:rPr>
                <w:rFonts w:hint="eastAsia" w:ascii="宋体" w:hAnsi="宋体"/>
                <w:color w:val="000000"/>
                <w:sz w:val="24"/>
                <w:szCs w:val="24"/>
              </w:rPr>
            </w:pPr>
            <w:r>
              <w:rPr>
                <w:rFonts w:hint="eastAsia" w:ascii="宋体" w:hAnsi="宋体"/>
                <w:color w:val="000000"/>
                <w:sz w:val="24"/>
                <w:szCs w:val="24"/>
              </w:rPr>
              <w:t>踏勘现场:领取投标意向书后，可踏勘施工现场，了解施工现场周边环境等项相关因素</w:t>
            </w:r>
          </w:p>
          <w:p>
            <w:pPr>
              <w:spacing w:line="360" w:lineRule="auto"/>
              <w:rPr>
                <w:rFonts w:hint="eastAsia" w:ascii="宋体" w:hAnsi="宋体"/>
                <w:color w:val="000000"/>
                <w:sz w:val="24"/>
                <w:szCs w:val="24"/>
              </w:rPr>
            </w:pPr>
            <w:r>
              <w:rPr>
                <w:rFonts w:hint="eastAsia" w:ascii="宋体" w:hAnsi="宋体"/>
                <w:color w:val="000000"/>
                <w:sz w:val="24"/>
                <w:szCs w:val="24"/>
              </w:rPr>
              <w:t>地点：</w:t>
            </w:r>
            <w:r>
              <w:rPr>
                <w:rFonts w:hint="eastAsia" w:ascii="宋体" w:hAnsi="宋体"/>
                <w:color w:val="0000FF"/>
                <w:sz w:val="24"/>
                <w:szCs w:val="24"/>
              </w:rPr>
              <w:t>福建省漳州市古雷经济开发区PX厂区内</w:t>
            </w:r>
          </w:p>
          <w:p>
            <w:pPr>
              <w:rPr>
                <w:rFonts w:hint="eastAsia" w:ascii="宋体" w:hAnsi="宋体"/>
                <w:color w:val="000000"/>
                <w:sz w:val="24"/>
                <w:szCs w:val="24"/>
              </w:rPr>
            </w:pPr>
            <w:r>
              <w:rPr>
                <w:rFonts w:hint="eastAsia" w:ascii="宋体" w:hAnsi="宋体"/>
                <w:color w:val="000000"/>
                <w:sz w:val="24"/>
                <w:szCs w:val="24"/>
              </w:rPr>
              <w:t>勘踏现场：</w:t>
            </w:r>
            <w:r>
              <w:rPr>
                <w:rFonts w:hint="eastAsia" w:ascii="宋体" w:hAnsi="宋体"/>
                <w:color w:val="000000"/>
                <w:sz w:val="24"/>
                <w:szCs w:val="24"/>
                <w:highlight w:val="yellow"/>
              </w:rPr>
              <w:t>2025年</w:t>
            </w:r>
            <w:r>
              <w:rPr>
                <w:rFonts w:hint="eastAsia" w:ascii="宋体" w:hAnsi="宋体"/>
                <w:color w:val="000000"/>
                <w:sz w:val="24"/>
                <w:szCs w:val="24"/>
                <w:highlight w:val="yellow"/>
                <w:lang w:val="en-US" w:eastAsia="zh-CN"/>
              </w:rPr>
              <w:t>7</w:t>
            </w:r>
            <w:r>
              <w:rPr>
                <w:rFonts w:hint="eastAsia" w:ascii="宋体" w:hAnsi="宋体"/>
                <w:color w:val="000000"/>
                <w:sz w:val="24"/>
                <w:szCs w:val="24"/>
                <w:highlight w:val="yellow"/>
              </w:rPr>
              <w:t>月</w:t>
            </w:r>
            <w:r>
              <w:rPr>
                <w:rFonts w:hint="eastAsia" w:ascii="宋体" w:hAnsi="宋体"/>
                <w:color w:val="000000"/>
                <w:sz w:val="24"/>
                <w:szCs w:val="24"/>
                <w:highlight w:val="yellow"/>
                <w:lang w:val="en-US" w:eastAsia="zh-CN"/>
              </w:rPr>
              <w:t>29</w:t>
            </w:r>
            <w:r>
              <w:rPr>
                <w:rFonts w:hint="eastAsia" w:ascii="宋体" w:hAnsi="宋体"/>
                <w:color w:val="000000"/>
                <w:sz w:val="24"/>
                <w:szCs w:val="24"/>
                <w:highlight w:val="yellow"/>
              </w:rPr>
              <w:t>日-2025年</w:t>
            </w:r>
            <w:r>
              <w:rPr>
                <w:rFonts w:hint="eastAsia" w:ascii="宋体" w:hAnsi="宋体"/>
                <w:color w:val="000000"/>
                <w:sz w:val="24"/>
                <w:szCs w:val="24"/>
                <w:highlight w:val="yellow"/>
                <w:lang w:val="en-US" w:eastAsia="zh-CN"/>
              </w:rPr>
              <w:t>7</w:t>
            </w:r>
            <w:r>
              <w:rPr>
                <w:rFonts w:hint="eastAsia" w:ascii="宋体" w:hAnsi="宋体"/>
                <w:color w:val="000000"/>
                <w:sz w:val="24"/>
                <w:szCs w:val="24"/>
                <w:highlight w:val="yellow"/>
              </w:rPr>
              <w:t>月</w:t>
            </w:r>
            <w:r>
              <w:rPr>
                <w:rFonts w:hint="eastAsia" w:ascii="宋体" w:hAnsi="宋体"/>
                <w:color w:val="000000"/>
                <w:sz w:val="24"/>
                <w:szCs w:val="24"/>
                <w:highlight w:val="yellow"/>
                <w:lang w:val="en-US" w:eastAsia="zh-CN"/>
              </w:rPr>
              <w:t>31</w:t>
            </w:r>
            <w:r>
              <w:rPr>
                <w:rFonts w:hint="eastAsia" w:ascii="宋体" w:hAnsi="宋体"/>
                <w:color w:val="000000"/>
                <w:sz w:val="24"/>
                <w:szCs w:val="24"/>
                <w:highlight w:val="yellow"/>
              </w:rPr>
              <w:t>日（需自备进厂劳保用品)</w:t>
            </w:r>
          </w:p>
          <w:p>
            <w:pPr>
              <w:spacing w:line="360" w:lineRule="auto"/>
              <w:rPr>
                <w:rFonts w:hint="eastAsia" w:ascii="宋体" w:hAnsi="宋体"/>
                <w:color w:val="000000"/>
                <w:sz w:val="24"/>
                <w:szCs w:val="24"/>
              </w:rPr>
            </w:pPr>
            <w:r>
              <w:rPr>
                <w:rFonts w:hint="eastAsia" w:ascii="宋体" w:hAnsi="宋体"/>
                <w:color w:val="000000"/>
                <w:sz w:val="24"/>
                <w:szCs w:val="24"/>
              </w:rPr>
              <w:t>投标报价截止日期：</w:t>
            </w:r>
            <w:r>
              <w:rPr>
                <w:rFonts w:hint="eastAsia" w:ascii="宋体" w:hAnsi="宋体"/>
                <w:color w:val="000000"/>
                <w:sz w:val="24"/>
                <w:szCs w:val="24"/>
                <w:highlight w:val="yellow"/>
              </w:rPr>
              <w:t>2025年</w:t>
            </w:r>
            <w:r>
              <w:rPr>
                <w:rFonts w:hint="eastAsia" w:ascii="宋体" w:hAnsi="宋体"/>
                <w:color w:val="000000"/>
                <w:sz w:val="24"/>
                <w:szCs w:val="24"/>
                <w:highlight w:val="yellow"/>
                <w:lang w:val="en-US" w:eastAsia="zh-CN"/>
              </w:rPr>
              <w:t>8</w:t>
            </w:r>
            <w:r>
              <w:rPr>
                <w:rFonts w:hint="eastAsia" w:ascii="宋体" w:hAnsi="宋体"/>
                <w:color w:val="000000"/>
                <w:sz w:val="24"/>
                <w:szCs w:val="24"/>
                <w:highlight w:val="yellow"/>
              </w:rPr>
              <w:t>月</w:t>
            </w:r>
            <w:r>
              <w:rPr>
                <w:rFonts w:hint="eastAsia" w:ascii="宋体" w:hAnsi="宋体"/>
                <w:color w:val="000000"/>
                <w:sz w:val="24"/>
                <w:szCs w:val="24"/>
                <w:highlight w:val="yellow"/>
                <w:lang w:val="en-US" w:eastAsia="zh-CN"/>
              </w:rPr>
              <w:t>1</w:t>
            </w:r>
            <w:r>
              <w:rPr>
                <w:rFonts w:hint="eastAsia" w:ascii="宋体" w:hAnsi="宋体"/>
                <w:color w:val="000000"/>
                <w:sz w:val="24"/>
                <w:szCs w:val="24"/>
                <w:highlight w:val="yellow"/>
              </w:rPr>
              <w:t>日</w:t>
            </w:r>
            <w:r>
              <w:rPr>
                <w:rFonts w:hint="eastAsia" w:ascii="宋体" w:hAnsi="宋体"/>
                <w:color w:val="000000"/>
                <w:sz w:val="24"/>
                <w:szCs w:val="24"/>
                <w:highlight w:val="yellow"/>
                <w:lang w:val="en-US" w:eastAsia="zh-CN"/>
              </w:rPr>
              <w:t>12</w:t>
            </w:r>
            <w:r>
              <w:rPr>
                <w:rFonts w:hint="eastAsia" w:ascii="宋体" w:hAnsi="宋体"/>
                <w:color w:val="000000"/>
                <w:sz w:val="24"/>
                <w:szCs w:val="24"/>
                <w:highlight w:val="yellow"/>
              </w:rPr>
              <w:t>时</w:t>
            </w:r>
            <w:bookmarkStart w:id="16" w:name="_GoBack"/>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6</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投标书有效期</w:t>
            </w:r>
          </w:p>
        </w:tc>
        <w:tc>
          <w:tcPr>
            <w:tcW w:w="6050"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投标截止日期至中标单位签订施工协议书之后30日内止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7</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报价书递交至</w:t>
            </w:r>
          </w:p>
        </w:tc>
        <w:tc>
          <w:tcPr>
            <w:tcW w:w="6050"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1、闽安通平台报价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8</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分包方式</w:t>
            </w:r>
          </w:p>
        </w:tc>
        <w:tc>
          <w:tcPr>
            <w:tcW w:w="6050"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人、机、辅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094" w:type="dxa"/>
            <w:vAlign w:val="center"/>
          </w:tcPr>
          <w:p>
            <w:pPr>
              <w:spacing w:line="360" w:lineRule="auto"/>
              <w:jc w:val="center"/>
              <w:rPr>
                <w:rFonts w:hint="eastAsia" w:ascii="宋体" w:hAnsi="宋体"/>
                <w:color w:val="000000"/>
                <w:sz w:val="24"/>
                <w:szCs w:val="24"/>
              </w:rPr>
            </w:pPr>
            <w:r>
              <w:rPr>
                <w:rFonts w:hint="eastAsia" w:ascii="宋体" w:hAnsi="宋体"/>
                <w:color w:val="000000"/>
                <w:sz w:val="24"/>
                <w:szCs w:val="24"/>
              </w:rPr>
              <w:t>9</w:t>
            </w:r>
          </w:p>
        </w:tc>
        <w:tc>
          <w:tcPr>
            <w:tcW w:w="2342" w:type="dxa"/>
            <w:vAlign w:val="center"/>
          </w:tcPr>
          <w:p>
            <w:pPr>
              <w:spacing w:line="360" w:lineRule="auto"/>
              <w:rPr>
                <w:rFonts w:hint="eastAsia" w:ascii="宋体" w:hAnsi="宋体"/>
                <w:color w:val="000000"/>
                <w:sz w:val="24"/>
                <w:szCs w:val="24"/>
              </w:rPr>
            </w:pPr>
            <w:r>
              <w:rPr>
                <w:rFonts w:hint="eastAsia" w:ascii="宋体" w:hAnsi="宋体"/>
                <w:color w:val="000000"/>
                <w:sz w:val="24"/>
                <w:szCs w:val="24"/>
              </w:rPr>
              <w:t>招标文件答疑</w:t>
            </w:r>
          </w:p>
        </w:tc>
        <w:tc>
          <w:tcPr>
            <w:tcW w:w="6050" w:type="dxa"/>
            <w:vAlign w:val="center"/>
          </w:tcPr>
          <w:p>
            <w:pPr>
              <w:rPr>
                <w:rFonts w:hint="eastAsia" w:ascii="宋体" w:hAnsi="宋体"/>
                <w:color w:val="0000FF"/>
                <w:sz w:val="24"/>
                <w:szCs w:val="24"/>
              </w:rPr>
            </w:pPr>
            <w:r>
              <w:rPr>
                <w:rFonts w:hint="eastAsia" w:ascii="宋体" w:hAnsi="宋体"/>
                <w:color w:val="0000FF"/>
                <w:sz w:val="24"/>
                <w:szCs w:val="24"/>
              </w:rPr>
              <w:t xml:space="preserve">联系人：卢经理  </w:t>
            </w:r>
            <w:r>
              <w:rPr>
                <w:rFonts w:ascii="宋体" w:hAnsi="宋体"/>
                <w:color w:val="0000FF"/>
                <w:sz w:val="24"/>
                <w:szCs w:val="24"/>
              </w:rPr>
              <w:t xml:space="preserve"> </w:t>
            </w:r>
            <w:r>
              <w:rPr>
                <w:rFonts w:hint="eastAsia" w:ascii="宋体" w:hAnsi="宋体"/>
                <w:color w:val="0000FF"/>
                <w:sz w:val="24"/>
                <w:szCs w:val="24"/>
              </w:rPr>
              <w:t>联系电话：18960053268</w:t>
            </w:r>
          </w:p>
          <w:p>
            <w:pPr>
              <w:spacing w:line="360" w:lineRule="auto"/>
              <w:rPr>
                <w:rFonts w:hint="eastAsia" w:ascii="宋体" w:hAnsi="宋体"/>
                <w:color w:val="000000"/>
                <w:sz w:val="24"/>
                <w:szCs w:val="24"/>
              </w:rPr>
            </w:pPr>
            <w:r>
              <w:rPr>
                <w:rFonts w:hint="eastAsia" w:ascii="宋体" w:hAnsi="宋体"/>
                <w:color w:val="0000FF"/>
                <w:sz w:val="24"/>
                <w:szCs w:val="24"/>
              </w:rPr>
              <w:t>联系人：林工     联系电话：</w:t>
            </w:r>
            <w:r>
              <w:rPr>
                <w:rFonts w:ascii="宋体" w:hAnsi="宋体"/>
                <w:color w:val="0000FF"/>
                <w:sz w:val="24"/>
                <w:szCs w:val="24"/>
              </w:rPr>
              <w:t>1</w:t>
            </w:r>
            <w:r>
              <w:rPr>
                <w:rFonts w:hint="eastAsia" w:ascii="宋体" w:hAnsi="宋体"/>
                <w:color w:val="0000FF"/>
                <w:sz w:val="24"/>
                <w:szCs w:val="24"/>
              </w:rPr>
              <w:t>5980879431</w:t>
            </w:r>
          </w:p>
        </w:tc>
      </w:tr>
    </w:tbl>
    <w:p>
      <w:pPr>
        <w:spacing w:before="156" w:beforeLines="50" w:after="156" w:afterLines="50" w:line="360" w:lineRule="auto"/>
        <w:jc w:val="left"/>
        <w:rPr>
          <w:rFonts w:hint="eastAsia" w:ascii="宋体" w:hAnsi="宋体"/>
          <w:b/>
          <w:bCs/>
          <w:color w:val="000000"/>
          <w:sz w:val="24"/>
          <w:szCs w:val="24"/>
        </w:rPr>
      </w:pPr>
    </w:p>
    <w:p>
      <w:pPr>
        <w:pStyle w:val="3"/>
        <w:rPr>
          <w:rFonts w:hint="eastAsia" w:ascii="宋体" w:hAnsi="宋体"/>
          <w:b w:val="0"/>
          <w:bCs w:val="0"/>
          <w:color w:val="000000"/>
          <w:sz w:val="28"/>
          <w:szCs w:val="28"/>
        </w:rPr>
      </w:pPr>
      <w:bookmarkStart w:id="1" w:name="_Toc192084502"/>
      <w:r>
        <w:rPr>
          <w:rFonts w:hint="eastAsia" w:ascii="宋体" w:hAnsi="宋体"/>
          <w:color w:val="000000"/>
          <w:sz w:val="28"/>
          <w:szCs w:val="28"/>
        </w:rPr>
        <w:t>一、总则</w:t>
      </w:r>
      <w:bookmarkEnd w:id="1"/>
    </w:p>
    <w:p>
      <w:pPr>
        <w:spacing w:before="156" w:beforeLines="50" w:after="156" w:afterLines="50" w:line="360" w:lineRule="auto"/>
        <w:ind w:firstLine="480" w:firstLineChars="200"/>
        <w:jc w:val="left"/>
        <w:rPr>
          <w:rFonts w:hint="eastAsia"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、本次招标主要须说明的问题见前附表；</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2、投标文件必须实质响应招标文件的要求，并不得在投标文件中提出自己的附加条件，否则甲方有权将其投标文件视为废标。乙方应对招标文件的内容进行全面深入的理解和考虑，任何由于乙方的遗漏和疏忽所产生的后果均由乙方自负。</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3、任何购买本招标文件的人对招标文件中所涉及的信息负有保密责任，任何情况下，未经甲方许可，乙方均不得将其内容外泄、复制或用于其它用途。</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4、乙方应自行承担本次投标过程中可能发生的一切费用，无论中标与否，乙方的任何费用和损失均与甲方无关。</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5、乙方一旦购买本招标文件及被视为完全同意承担参与本工程投标的全部责任和义务。</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6、甲方有权不选择最低报价投标文件或任何一份投标文件，也不会对此选择的原因作出解释和说明。</w:t>
      </w:r>
    </w:p>
    <w:p>
      <w:pPr>
        <w:pStyle w:val="3"/>
        <w:rPr>
          <w:rFonts w:hint="eastAsia" w:ascii="宋体" w:hAnsi="宋体"/>
          <w:b w:val="0"/>
          <w:bCs w:val="0"/>
          <w:color w:val="000000"/>
          <w:sz w:val="28"/>
          <w:szCs w:val="28"/>
        </w:rPr>
      </w:pPr>
      <w:bookmarkStart w:id="2" w:name="_Toc192084503"/>
      <w:r>
        <w:rPr>
          <w:rFonts w:hint="eastAsia" w:ascii="宋体" w:hAnsi="宋体"/>
          <w:color w:val="000000"/>
          <w:sz w:val="28"/>
          <w:szCs w:val="28"/>
        </w:rPr>
        <w:t>二、踏勘现场</w:t>
      </w:r>
      <w:bookmarkEnd w:id="2"/>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1、</w:t>
      </w:r>
      <w:r>
        <w:rPr>
          <w:rFonts w:hint="eastAsia" w:ascii="宋体" w:hAnsi="宋体"/>
          <w:color w:val="000000"/>
          <w:sz w:val="24"/>
          <w:highlight w:val="yellow"/>
        </w:rPr>
        <w:t>乙方必须踏勘现场并与甲方充分沟通后报价，复核吊装方案可行性；且对报价清单有异议，可提出澄清</w:t>
      </w:r>
      <w:r>
        <w:rPr>
          <w:rFonts w:hint="eastAsia" w:ascii="宋体" w:hAnsi="宋体"/>
          <w:color w:val="000000"/>
          <w:sz w:val="24"/>
        </w:rPr>
        <w:t>，工程范围甲方有权根据乙方的实际进度和结合工程的总体进度及设计调整乙方的承包范围和内容，乙方必须无条件服从并不得以任何理由拒绝调整和要求其他费用增补。</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2、乙方使用甲方提供的现场资料和现场踏勘的结果，以及由此得出的推论、理解和结论自行负责，与甲方无关。</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3、乙方可以自行踏勘现场，甲方予以协助，但甲方对由甲方组织的统一踏勘现场以外的乙方的自行踏勘活动期间的安全不负任何责任，由安全事故引发的损失和责任与甲方无关。</w:t>
      </w:r>
    </w:p>
    <w:p>
      <w:pPr>
        <w:spacing w:before="156" w:beforeLines="50" w:after="156" w:afterLines="50"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4、乙方勘踏现场需自备入化工厂所需劳保用品。</w:t>
      </w:r>
    </w:p>
    <w:p>
      <w:pPr>
        <w:pStyle w:val="3"/>
        <w:rPr>
          <w:rStyle w:val="20"/>
          <w:b/>
          <w:sz w:val="28"/>
          <w:szCs w:val="28"/>
        </w:rPr>
      </w:pPr>
      <w:bookmarkStart w:id="3" w:name="_Toc192084504"/>
      <w:r>
        <w:rPr>
          <w:rFonts w:hint="eastAsia" w:ascii="宋体" w:hAnsi="宋体"/>
          <w:color w:val="000000"/>
          <w:sz w:val="28"/>
          <w:szCs w:val="28"/>
        </w:rPr>
        <w:t>三、</w:t>
      </w:r>
      <w:r>
        <w:rPr>
          <w:rFonts w:hint="eastAsia"/>
          <w:sz w:val="28"/>
          <w:szCs w:val="28"/>
        </w:rPr>
        <w:t>工程概述</w:t>
      </w:r>
      <w:bookmarkEnd w:id="3"/>
      <w:bookmarkStart w:id="4" w:name="_Toc5753"/>
    </w:p>
    <w:bookmarkEnd w:id="4"/>
    <w:p>
      <w:pPr>
        <w:spacing w:line="360" w:lineRule="auto"/>
        <w:ind w:firstLine="480" w:firstLineChars="200"/>
        <w:rPr>
          <w:color w:val="0000FF"/>
          <w:sz w:val="24"/>
          <w:szCs w:val="24"/>
          <w:lang w:val="zh-CN"/>
        </w:rPr>
      </w:pPr>
      <w:bookmarkStart w:id="5" w:name="_Toc15127"/>
      <w:r>
        <w:rPr>
          <w:rFonts w:hint="eastAsia"/>
          <w:color w:val="0000FF"/>
          <w:sz w:val="24"/>
          <w:szCs w:val="24"/>
          <w:lang w:val="zh-CN"/>
        </w:rPr>
        <w:t>本工程位于福建省漳州市古雷经济开发区PX厂区内，本项目为福建福海创石油化工有限公司原料适应性技改项目200 万吨/年 AGO 吸附分离及 50 万吨/年重芳烃轻质化装置 EPC 总承包项目</w:t>
      </w:r>
    </w:p>
    <w:p>
      <w:pPr>
        <w:pStyle w:val="3"/>
        <w:rPr>
          <w:b w:val="0"/>
          <w:bCs w:val="0"/>
          <w:sz w:val="28"/>
          <w:szCs w:val="28"/>
        </w:rPr>
      </w:pPr>
      <w:bookmarkStart w:id="6" w:name="_Toc192084505"/>
      <w:r>
        <w:rPr>
          <w:rFonts w:hint="eastAsia"/>
          <w:sz w:val="28"/>
          <w:szCs w:val="28"/>
        </w:rPr>
        <w:t>四、计划工期</w:t>
      </w:r>
      <w:bookmarkEnd w:id="5"/>
      <w:bookmarkEnd w:id="6"/>
    </w:p>
    <w:p>
      <w:pPr>
        <w:spacing w:line="360" w:lineRule="auto"/>
        <w:ind w:firstLine="480" w:firstLineChars="200"/>
        <w:jc w:val="left"/>
        <w:rPr>
          <w:color w:val="FF0000"/>
          <w:sz w:val="24"/>
          <w:szCs w:val="24"/>
          <w:highlight w:val="yellow"/>
        </w:rPr>
      </w:pPr>
      <w:r>
        <w:rPr>
          <w:color w:val="FF0000"/>
          <w:sz w:val="24"/>
          <w:szCs w:val="24"/>
          <w:highlight w:val="yellow"/>
        </w:rPr>
        <w:t>1</w:t>
      </w:r>
      <w:r>
        <w:rPr>
          <w:rFonts w:hint="eastAsia"/>
          <w:color w:val="FF0000"/>
          <w:sz w:val="24"/>
          <w:szCs w:val="24"/>
          <w:highlight w:val="yellow"/>
        </w:rPr>
        <w:t>、</w:t>
      </w:r>
      <w:r>
        <w:rPr>
          <w:rFonts w:hint="eastAsia" w:ascii="宋体" w:hAnsi="宋体" w:cs="宋体"/>
          <w:color w:val="FF0000"/>
          <w:sz w:val="24"/>
          <w:highlight w:val="yellow"/>
        </w:rPr>
        <w:t>工期 ：2025年8月10日开始进场至2025年11月30日进场完成（履带吊400T）；2025年10月10日开始进场至2025年11月09日进场完成（带超起履带吊800T）</w:t>
      </w:r>
    </w:p>
    <w:p>
      <w:pPr>
        <w:spacing w:line="360" w:lineRule="auto"/>
        <w:ind w:firstLine="480" w:firstLineChars="200"/>
        <w:jc w:val="left"/>
        <w:rPr>
          <w:sz w:val="24"/>
          <w:szCs w:val="24"/>
        </w:rPr>
      </w:pPr>
      <w:r>
        <w:rPr>
          <w:rFonts w:hint="eastAsia"/>
          <w:sz w:val="24"/>
          <w:szCs w:val="24"/>
          <w:highlight w:val="yellow"/>
        </w:rPr>
        <w:t>工期总日历天数与根据前述计划日期计算的工期天数不一致的，以工期总日历天数为准。</w:t>
      </w:r>
    </w:p>
    <w:p>
      <w:pPr>
        <w:spacing w:line="360" w:lineRule="auto"/>
        <w:ind w:firstLine="480" w:firstLineChars="200"/>
        <w:jc w:val="left"/>
        <w:rPr>
          <w:sz w:val="24"/>
          <w:szCs w:val="24"/>
          <w:lang w:val="zh-CN"/>
        </w:rPr>
      </w:pPr>
      <w:r>
        <w:rPr>
          <w:rFonts w:hint="eastAsia"/>
          <w:sz w:val="24"/>
          <w:szCs w:val="24"/>
          <w:lang w:val="zh-CN"/>
        </w:rPr>
        <w:t>2、工期延误的逾期竣工违约金的约定：(1)对于节假日、高考、 庆典活动等可预见的可能对施工有影响的特殊期间，</w:t>
      </w:r>
      <w:r>
        <w:rPr>
          <w:rFonts w:hint="eastAsia"/>
          <w:sz w:val="24"/>
          <w:szCs w:val="24"/>
        </w:rPr>
        <w:t>乙方</w:t>
      </w:r>
      <w:r>
        <w:rPr>
          <w:rFonts w:hint="eastAsia"/>
          <w:sz w:val="24"/>
          <w:szCs w:val="24"/>
          <w:lang w:val="zh-CN"/>
        </w:rPr>
        <w:t>应预先做出安排，工期不予顺延，费用由</w:t>
      </w:r>
      <w:r>
        <w:rPr>
          <w:rFonts w:hint="eastAsia"/>
          <w:sz w:val="24"/>
          <w:szCs w:val="24"/>
        </w:rPr>
        <w:t>乙方</w:t>
      </w:r>
      <w:r>
        <w:rPr>
          <w:rFonts w:hint="eastAsia"/>
          <w:sz w:val="24"/>
          <w:szCs w:val="24"/>
          <w:lang w:val="zh-CN"/>
        </w:rPr>
        <w:t>自理。（2）竣工工期每延误一天，不足一天按一天计。</w:t>
      </w:r>
      <w:r>
        <w:rPr>
          <w:rFonts w:hint="eastAsia"/>
          <w:sz w:val="24"/>
          <w:szCs w:val="24"/>
        </w:rPr>
        <w:t>乙方</w:t>
      </w:r>
      <w:r>
        <w:rPr>
          <w:rFonts w:hint="eastAsia"/>
          <w:sz w:val="24"/>
          <w:szCs w:val="24"/>
          <w:lang w:val="zh-CN"/>
        </w:rPr>
        <w:t>每天应当向</w:t>
      </w:r>
      <w:r>
        <w:rPr>
          <w:rFonts w:hint="eastAsia"/>
          <w:sz w:val="24"/>
          <w:szCs w:val="24"/>
        </w:rPr>
        <w:t>甲方</w:t>
      </w:r>
      <w:r>
        <w:rPr>
          <w:rFonts w:hint="eastAsia"/>
          <w:sz w:val="24"/>
          <w:szCs w:val="24"/>
          <w:lang w:val="zh-CN"/>
        </w:rPr>
        <w:t>赔偿合同价款的万分之五（元/天）整。</w:t>
      </w:r>
    </w:p>
    <w:p>
      <w:pPr>
        <w:spacing w:line="360" w:lineRule="auto"/>
        <w:ind w:firstLine="480" w:firstLineChars="200"/>
        <w:jc w:val="left"/>
        <w:rPr>
          <w:sz w:val="24"/>
          <w:szCs w:val="24"/>
          <w:lang w:val="zh-CN"/>
        </w:rPr>
      </w:pPr>
      <w:r>
        <w:rPr>
          <w:rFonts w:hint="eastAsia"/>
          <w:sz w:val="24"/>
          <w:szCs w:val="24"/>
          <w:lang w:val="zh-CN"/>
        </w:rPr>
        <w:t>3、本工程安装工期是不容许延误的,如工程进度严重落后,甲方要求乙方改善却无法达成时，甲方有权要求乙方即时停止安装,并予更换乙方或寻找第三方协助赶工，导致费用由乙方承担，并由甲方直接在工程结算时扣除。对因此导致甲方遭受损失时，甲方有权向乙方索赔。</w:t>
      </w:r>
    </w:p>
    <w:p>
      <w:pPr>
        <w:spacing w:line="360" w:lineRule="auto"/>
        <w:ind w:firstLine="480" w:firstLineChars="200"/>
        <w:jc w:val="left"/>
        <w:rPr>
          <w:sz w:val="24"/>
          <w:szCs w:val="24"/>
          <w:lang w:val="zh-CN"/>
        </w:rPr>
      </w:pPr>
      <w:r>
        <w:rPr>
          <w:rFonts w:hint="eastAsia"/>
          <w:sz w:val="24"/>
          <w:szCs w:val="24"/>
          <w:lang w:val="zh-CN"/>
        </w:rPr>
        <w:t>4、若乙方工期、进度不能达到甲方的要求，乙方必须24小时连续工作，节日期间不放假，连续照常施工。包括春节、国庆节等，满足合同工期的要求，在此基础上若仍未能满足工期的要求，则甲方有权将工程的部分或全部交由其他施工队伍施工，以满足工期的需要，发生的费用甲方将直接从分包工程款中扣除。乙方应负担由此造成的罚款与其他经济损失。</w:t>
      </w:r>
      <w:bookmarkStart w:id="7" w:name="_Toc11146"/>
    </w:p>
    <w:p>
      <w:pPr>
        <w:pStyle w:val="3"/>
        <w:rPr>
          <w:b w:val="0"/>
          <w:bCs w:val="0"/>
          <w:sz w:val="28"/>
          <w:szCs w:val="28"/>
        </w:rPr>
      </w:pPr>
      <w:bookmarkStart w:id="8" w:name="_Toc192084506"/>
      <w:r>
        <w:rPr>
          <w:rFonts w:hint="eastAsia"/>
          <w:sz w:val="28"/>
          <w:szCs w:val="28"/>
        </w:rPr>
        <w:t>五、工程内容与范围</w:t>
      </w:r>
      <w:bookmarkEnd w:id="7"/>
      <w:bookmarkEnd w:id="8"/>
    </w:p>
    <w:p>
      <w:pPr>
        <w:spacing w:line="360" w:lineRule="auto"/>
        <w:ind w:firstLine="480" w:firstLineChars="200"/>
        <w:rPr>
          <w:sz w:val="24"/>
          <w:szCs w:val="24"/>
          <w:highlight w:val="yellow"/>
        </w:rPr>
      </w:pPr>
      <w:r>
        <w:rPr>
          <w:rFonts w:hint="eastAsia"/>
          <w:color w:val="000000"/>
          <w:sz w:val="24"/>
          <w:szCs w:val="24"/>
        </w:rPr>
        <w:t>1、</w:t>
      </w:r>
      <w:r>
        <w:rPr>
          <w:rFonts w:hint="eastAsia"/>
          <w:color w:val="000000"/>
          <w:sz w:val="24"/>
          <w:szCs w:val="24"/>
          <w:highlight w:val="yellow"/>
        </w:rPr>
        <w:t>工作内容：</w:t>
      </w:r>
      <w:r>
        <w:rPr>
          <w:rFonts w:hint="eastAsia" w:ascii="宋体" w:hAnsi="宋体" w:cs="宋体"/>
          <w:bCs/>
          <w:sz w:val="24"/>
          <w:szCs w:val="24"/>
          <w:highlight w:val="yellow"/>
        </w:rPr>
        <w:t>二标段50万吨/年重芳烃轻质化装置（含相应区域总图及综合管线）工程大型设备吊装工程。</w:t>
      </w:r>
      <w:r>
        <w:rPr>
          <w:rFonts w:hint="eastAsia" w:ascii="宋体" w:hAnsi="宋体" w:cs="宋体"/>
          <w:bCs/>
          <w:color w:val="FF0000"/>
          <w:sz w:val="24"/>
          <w:szCs w:val="24"/>
        </w:rPr>
        <w:t>大型设备吊装包含400T履带吊进场、组装、退场及吊装过程中的移位、800T履带吊进场、组装、退场及吊装过程中的移位、平衡梁(包括配套卸扣)、钢丝绳、卸扣、卸车、组装、退场所需配合汽车吊，直至所有大型设备吊装就位工作完毕等所有工作。</w:t>
      </w:r>
      <w:r>
        <w:rPr>
          <w:rFonts w:hint="eastAsia" w:ascii="宋体" w:hAnsi="宋体" w:cs="宋体"/>
          <w:color w:val="FF0000"/>
          <w:sz w:val="24"/>
          <w:szCs w:val="24"/>
          <w:shd w:val="clear" w:color="auto" w:fill="FFFFFF"/>
        </w:rPr>
        <w:t>工程范围为大型设备吊装及就位；甲方有权根据乙方的实际进度和结合工程的总体进度调整乙方的承包范围和内容，乙方必须无条件服从并不得以任何理由拒绝调整。</w:t>
      </w:r>
    </w:p>
    <w:p>
      <w:pPr>
        <w:pStyle w:val="2"/>
        <w:ind w:left="0" w:leftChars="0" w:firstLine="480"/>
      </w:pPr>
      <w:r>
        <w:rPr>
          <w:rFonts w:hint="eastAsia"/>
        </w:rPr>
        <w:t>2、</w:t>
      </w:r>
      <w:r>
        <w:rPr>
          <w:rFonts w:hint="eastAsia"/>
          <w:highlight w:val="yellow"/>
        </w:rPr>
        <w:t>乙方现场需配备施工技术人员配合甲方进行工程量的统计、维护及其余施工资料的编制。</w:t>
      </w:r>
    </w:p>
    <w:p>
      <w:pPr>
        <w:spacing w:line="360" w:lineRule="auto"/>
        <w:ind w:firstLine="480" w:firstLineChars="200"/>
        <w:rPr>
          <w:color w:val="000000"/>
          <w:sz w:val="24"/>
          <w:szCs w:val="24"/>
        </w:rPr>
      </w:pPr>
      <w:r>
        <w:rPr>
          <w:rFonts w:hint="eastAsia" w:ascii="宋体" w:hAnsi="宋体" w:cs="宋体"/>
          <w:sz w:val="24"/>
          <w:szCs w:val="24"/>
          <w:shd w:val="clear" w:color="auto" w:fill="FFFFFF"/>
        </w:rPr>
        <w:t>3、甲方有界限范围的最终解释权，甲方根据施工图纸，以便利施工为原则实施具体划分。</w:t>
      </w:r>
    </w:p>
    <w:p>
      <w:pPr>
        <w:spacing w:line="360" w:lineRule="auto"/>
        <w:ind w:firstLine="480" w:firstLineChars="200"/>
        <w:rPr>
          <w:rFonts w:hint="eastAsia" w:ascii="宋体" w:hAnsi="宋体" w:cs="宋体"/>
          <w:sz w:val="24"/>
          <w:szCs w:val="24"/>
          <w:shd w:val="clear" w:color="auto" w:fill="FFFFFF"/>
        </w:rPr>
      </w:pPr>
      <w:r>
        <w:rPr>
          <w:rFonts w:hint="eastAsia" w:ascii="宋体" w:hAnsi="宋体" w:cs="宋体"/>
          <w:sz w:val="24"/>
          <w:szCs w:val="24"/>
          <w:shd w:val="clear" w:color="auto" w:fill="FFFFFF"/>
        </w:rPr>
        <w:t xml:space="preserve">4、在现场安装过程中，如发现其他人员损坏己方安装成果，要及时拍照留底并上报甲方，交由甲方决断。 </w:t>
      </w:r>
    </w:p>
    <w:p>
      <w:pPr>
        <w:spacing w:line="360" w:lineRule="auto"/>
        <w:ind w:firstLine="480" w:firstLineChars="200"/>
        <w:rPr>
          <w:rFonts w:hint="eastAsia" w:ascii="宋体" w:hAnsi="宋体"/>
          <w:sz w:val="24"/>
          <w:szCs w:val="24"/>
        </w:rPr>
      </w:pPr>
      <w:r>
        <w:rPr>
          <w:rFonts w:hint="eastAsia" w:ascii="宋体" w:hAnsi="宋体" w:cs="宋体"/>
          <w:sz w:val="24"/>
          <w:szCs w:val="24"/>
          <w:shd w:val="clear" w:color="auto" w:fill="FFFFFF"/>
        </w:rPr>
        <w:t>5、</w:t>
      </w:r>
      <w:r>
        <w:rPr>
          <w:rFonts w:hint="eastAsia" w:ascii="宋体" w:hAnsi="宋体"/>
          <w:sz w:val="24"/>
          <w:szCs w:val="24"/>
        </w:rPr>
        <w:t>因设计方或业主出具的设计变更、设计增补、业主出具的工作联系单或业主要求更改（二次或多次重复安装）的制作安装施工工作均属于合同的工作范围，不得以任何理由拒绝施工。</w:t>
      </w:r>
    </w:p>
    <w:p>
      <w:pPr>
        <w:spacing w:line="360" w:lineRule="auto"/>
        <w:ind w:firstLine="480" w:firstLineChars="200"/>
        <w:rPr>
          <w:rFonts w:hint="eastAsia" w:ascii="宋体" w:hAnsi="宋体"/>
          <w:b/>
          <w:bCs/>
          <w:sz w:val="28"/>
          <w:szCs w:val="28"/>
        </w:rPr>
      </w:pPr>
      <w:r>
        <w:rPr>
          <w:rFonts w:hint="eastAsia" w:ascii="宋体" w:hAnsi="宋体"/>
          <w:color w:val="000000"/>
          <w:sz w:val="24"/>
          <w:szCs w:val="24"/>
        </w:rPr>
        <w:t>6、</w:t>
      </w:r>
      <w:r>
        <w:rPr>
          <w:rFonts w:hint="eastAsia" w:ascii="宋体" w:hAnsi="宋体"/>
          <w:color w:val="000000"/>
          <w:sz w:val="24"/>
          <w:szCs w:val="24"/>
          <w:highlight w:val="yellow"/>
        </w:rPr>
        <w:t>本项目设备，乙方负责卸车至甲方指定地点，现场搬运等辅助工作不按点工处理。</w:t>
      </w:r>
      <w:r>
        <w:rPr>
          <w:rFonts w:hint="eastAsia" w:ascii="宋体" w:hAnsi="宋体"/>
          <w:b/>
          <w:bCs/>
          <w:sz w:val="28"/>
          <w:szCs w:val="28"/>
        </w:rPr>
        <w:t xml:space="preserve">                                      </w:t>
      </w:r>
    </w:p>
    <w:p>
      <w:pPr>
        <w:pStyle w:val="3"/>
        <w:rPr>
          <w:b w:val="0"/>
          <w:bCs w:val="0"/>
          <w:sz w:val="28"/>
          <w:szCs w:val="28"/>
        </w:rPr>
      </w:pPr>
      <w:bookmarkStart w:id="9" w:name="_Toc192084507"/>
      <w:bookmarkStart w:id="10" w:name="_Toc27960"/>
      <w:r>
        <w:rPr>
          <w:rFonts w:hint="eastAsia"/>
          <w:sz w:val="28"/>
          <w:szCs w:val="28"/>
        </w:rPr>
        <w:t>六、机械、材料供应</w:t>
      </w:r>
      <w:bookmarkEnd w:id="9"/>
      <w:bookmarkEnd w:id="10"/>
    </w:p>
    <w:p>
      <w:pPr>
        <w:spacing w:line="360" w:lineRule="auto"/>
        <w:ind w:firstLine="480" w:firstLineChars="200"/>
        <w:rPr>
          <w:rFonts w:hint="eastAsia" w:ascii="宋体" w:hAnsi="宋体"/>
          <w:color w:val="FF0000"/>
          <w:sz w:val="24"/>
        </w:rPr>
      </w:pPr>
      <w:r>
        <w:rPr>
          <w:rFonts w:hint="eastAsia" w:ascii="宋体" w:hAnsi="宋体"/>
          <w:color w:val="FF0000"/>
          <w:sz w:val="24"/>
        </w:rPr>
        <w:t>1、乙方施工中提供的机械设备、机索具等要经甲方确认，方可进场，并提供机械设备、机索具等的合格证、检验报告及供应商的营业执照、生产许可证等。乙方施工中所使用的机具须具有安全可靠的性能，并报甲方确认，甲方有权责令乙方清退不符合要求的机具。到场机械设备、机索具等应符合国家相应规范标准要求及福海创相关管理规定。</w:t>
      </w:r>
    </w:p>
    <w:p>
      <w:pPr>
        <w:spacing w:line="360" w:lineRule="auto"/>
        <w:ind w:firstLine="480" w:firstLineChars="200"/>
        <w:rPr>
          <w:sz w:val="24"/>
          <w:szCs w:val="24"/>
        </w:rPr>
      </w:pPr>
      <w:r>
        <w:rPr>
          <w:rFonts w:hint="eastAsia"/>
          <w:sz w:val="24"/>
          <w:szCs w:val="24"/>
        </w:rPr>
        <w:t>2、施工现场水电由甲方提供。甲方提供施工临时电至三级分配箱（带航空插座），三级分配箱之后乙方自理，乙方自带的电动机具（焊机、磨光机、等离子机等各类电动工具）按要求必须使用航空插头。用电设备必须接航空插头及插座，不得使用拖线盘，龙头线和电源线不得使用铝芯电缆。如未按业主要求、项目要求以及此技术文件要求，将没收不符合要求的用电设备和电缆，并进行不低于5000元/次的处罚。</w:t>
      </w:r>
    </w:p>
    <w:p>
      <w:pPr>
        <w:spacing w:line="360" w:lineRule="auto"/>
        <w:ind w:firstLine="420" w:firstLineChars="175"/>
        <w:rPr>
          <w:rFonts w:hint="eastAsia" w:ascii="宋体" w:hAnsi="宋体"/>
          <w:sz w:val="24"/>
        </w:rPr>
      </w:pPr>
      <w:r>
        <w:rPr>
          <w:rFonts w:hint="eastAsia" w:ascii="宋体" w:hAnsi="宋体"/>
          <w:color w:val="000000"/>
          <w:sz w:val="24"/>
        </w:rPr>
        <w:t>3、夜间施工加班甲方根据现场的需求设置固定位置安装大灯，其余的照明均由乙方自行考虑（符合法律法规要求和甲方管理要求），此项费用乙方自行考虑。</w:t>
      </w:r>
    </w:p>
    <w:p>
      <w:pPr>
        <w:pStyle w:val="3"/>
        <w:rPr>
          <w:b w:val="0"/>
          <w:bCs w:val="0"/>
          <w:sz w:val="28"/>
          <w:szCs w:val="28"/>
        </w:rPr>
      </w:pPr>
      <w:bookmarkStart w:id="11" w:name="_Toc192084508"/>
      <w:bookmarkStart w:id="12" w:name="_Toc17794"/>
      <w:r>
        <w:rPr>
          <w:rFonts w:hint="eastAsia"/>
          <w:sz w:val="28"/>
          <w:szCs w:val="28"/>
        </w:rPr>
        <w:t>七、投标报价</w:t>
      </w:r>
      <w:bookmarkEnd w:id="11"/>
      <w:bookmarkEnd w:id="12"/>
    </w:p>
    <w:p>
      <w:pPr>
        <w:spacing w:line="360" w:lineRule="auto"/>
        <w:ind w:firstLine="480" w:firstLineChars="200"/>
        <w:rPr>
          <w:rFonts w:hint="eastAsia" w:ascii="宋体" w:hAnsi="宋体" w:cs="宋体"/>
          <w:kern w:val="0"/>
          <w:sz w:val="24"/>
        </w:rPr>
      </w:pPr>
      <w:r>
        <w:rPr>
          <w:rFonts w:hint="eastAsia" w:ascii="宋体" w:hAnsi="宋体"/>
          <w:sz w:val="24"/>
        </w:rPr>
        <w:t>1、承包方式：人机辅，综合</w:t>
      </w:r>
      <w:r>
        <w:rPr>
          <w:rFonts w:hint="eastAsia" w:ascii="宋体" w:hAnsi="宋体" w:cs="宋体"/>
          <w:kern w:val="0"/>
          <w:sz w:val="24"/>
        </w:rPr>
        <w:t>单价包干，按实际工程量结算。</w:t>
      </w:r>
      <w:r>
        <w:rPr>
          <w:rFonts w:hint="eastAsia" w:ascii="宋体" w:hAnsi="宋体"/>
          <w:color w:val="000000"/>
          <w:sz w:val="24"/>
          <w:szCs w:val="24"/>
        </w:rPr>
        <w:t>报价含6</w:t>
      </w:r>
      <w:r>
        <w:rPr>
          <w:rFonts w:ascii="宋体" w:hAnsi="宋体"/>
          <w:color w:val="000000"/>
          <w:sz w:val="24"/>
          <w:szCs w:val="24"/>
        </w:rPr>
        <w:t>%</w:t>
      </w:r>
      <w:r>
        <w:rPr>
          <w:rFonts w:hint="eastAsia" w:ascii="宋体" w:hAnsi="宋体"/>
          <w:color w:val="000000"/>
          <w:sz w:val="24"/>
          <w:szCs w:val="24"/>
        </w:rPr>
        <w:t>增值税，</w:t>
      </w:r>
      <w:r>
        <w:rPr>
          <w:rFonts w:hint="eastAsia" w:ascii="宋体" w:hAnsi="宋体" w:cs="宋体"/>
          <w:sz w:val="24"/>
          <w:szCs w:val="24"/>
        </w:rPr>
        <w:t>具体工程量按实结算。</w:t>
      </w:r>
    </w:p>
    <w:p>
      <w:pPr>
        <w:spacing w:line="360" w:lineRule="auto"/>
        <w:ind w:firstLine="480" w:firstLineChars="200"/>
        <w:jc w:val="left"/>
        <w:rPr>
          <w:rFonts w:hint="eastAsia" w:ascii="宋体" w:hAnsi="宋体" w:cs="宋体"/>
          <w:sz w:val="24"/>
          <w:szCs w:val="24"/>
          <w:highlight w:val="yellow"/>
        </w:rPr>
      </w:pPr>
      <w:r>
        <w:rPr>
          <w:rFonts w:hint="eastAsia" w:ascii="宋体" w:hAnsi="宋体" w:cs="宋体"/>
          <w:sz w:val="24"/>
          <w:szCs w:val="24"/>
          <w:highlight w:val="yellow"/>
        </w:rPr>
        <w:t>2、工程款支付</w:t>
      </w:r>
    </w:p>
    <w:p>
      <w:pPr>
        <w:spacing w:line="360" w:lineRule="auto"/>
        <w:ind w:firstLine="480" w:firstLineChars="200"/>
        <w:jc w:val="left"/>
        <w:rPr>
          <w:rFonts w:hint="eastAsia" w:ascii="宋体" w:hAnsi="宋体" w:cs="仿宋"/>
          <w:sz w:val="24"/>
          <w:highlight w:val="green"/>
        </w:rPr>
      </w:pPr>
      <w:r>
        <w:rPr>
          <w:rFonts w:hint="eastAsia" w:ascii="宋体" w:hAnsi="宋体" w:cs="宋体"/>
          <w:sz w:val="24"/>
          <w:szCs w:val="24"/>
          <w:highlight w:val="green"/>
        </w:rPr>
        <w:t>（1）进度款：此项工作为总价包干，</w:t>
      </w:r>
      <w:r>
        <w:rPr>
          <w:rFonts w:hint="eastAsia" w:ascii="宋体" w:hAnsi="宋体" w:cs="仿宋"/>
          <w:sz w:val="24"/>
          <w:highlight w:val="green"/>
        </w:rPr>
        <w:t>每月上报完成工程量，经甲方相关人审核确认后，按每月实际完成吊装完成量（按吨位分配每台单价）的80%（每个月进度款支付比例为当月完成的百分之77%，安全文明施工费3%，合计为单月工程量的百分之80%。如乙方本月文明施工未达到项目要求，项目有权在当月的安全文明施工费中的3%进行扣除。）</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highlight w:val="yellow"/>
        </w:rPr>
        <w:t>投标报价为</w:t>
      </w:r>
      <w:r>
        <w:rPr>
          <w:rFonts w:hint="eastAsia" w:ascii="宋体" w:hAnsi="宋体"/>
          <w:sz w:val="24"/>
          <w:highlight w:val="yellow"/>
        </w:rPr>
        <w:t>从施工准备至交工验收全过程所需之一切人工（包括工人工资、加班费、由个人和用人单位承担的社会保险费、年休假工资、合同终止/解除经济补偿金、劳务管理费(%)、人员进退场费、职工福利费、教育经费、工会经费等）、机具、辅材及耗材、劳保用品、食宿、交通、水电、加班送餐、夜餐、暂住证与识别证办证费、人员机具保险、管理、税金（含个人所得税）、利润、措施</w:t>
      </w:r>
      <w:r>
        <w:rPr>
          <w:rFonts w:hint="eastAsia" w:ascii="宋体" w:hAnsi="宋体" w:cs="宋体"/>
          <w:sz w:val="24"/>
          <w:szCs w:val="24"/>
          <w:highlight w:val="yellow"/>
        </w:rPr>
        <w:t>、现场安全文明施工费</w:t>
      </w:r>
      <w:r>
        <w:rPr>
          <w:rFonts w:hint="eastAsia" w:ascii="宋体" w:hAnsi="宋体"/>
          <w:sz w:val="24"/>
          <w:highlight w:val="yellow"/>
        </w:rPr>
        <w:t>等所有费用均已含在总价中。</w:t>
      </w:r>
      <w:r>
        <w:rPr>
          <w:rFonts w:hint="eastAsia" w:ascii="宋体" w:hAnsi="宋体" w:cs="宋体"/>
          <w:sz w:val="24"/>
          <w:szCs w:val="24"/>
        </w:rPr>
        <w:t>有关文件规定的调价、政策性调整、物价变动以及一般性自然灾害所造成的损失及预防自然灾害所采取的措施、业主方、甲方原因造成的停工、窝工以及停水、停电等其他不可预料因素所发生的一切费用。其投标报价应为完成上述工作内容的价款。</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4、工程量计算按</w:t>
      </w:r>
      <w:r>
        <w:rPr>
          <w:rFonts w:hint="eastAsia" w:ascii="宋体" w:hAnsi="宋体" w:cs="宋体"/>
          <w:color w:val="FF0000"/>
          <w:sz w:val="24"/>
          <w:szCs w:val="24"/>
        </w:rPr>
        <w:t>现场实际委托（不包含吊车在现场空余时间吊装这13台之外的设备）</w:t>
      </w:r>
      <w:r>
        <w:rPr>
          <w:rFonts w:hint="eastAsia" w:ascii="宋体" w:hAnsi="宋体" w:cs="宋体"/>
          <w:sz w:val="24"/>
          <w:szCs w:val="24"/>
        </w:rPr>
        <w:t xml:space="preserve">计算。 </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5、</w:t>
      </w:r>
      <w:r>
        <w:rPr>
          <w:rFonts w:hint="eastAsia" w:ascii="宋体" w:hAnsi="宋体"/>
          <w:color w:val="000000"/>
          <w:sz w:val="24"/>
        </w:rPr>
        <w:t>现场的文明施工不做单项报价，</w:t>
      </w:r>
      <w:r>
        <w:rPr>
          <w:rFonts w:hint="eastAsia" w:ascii="宋体" w:hAnsi="宋体" w:cs="宋体"/>
          <w:sz w:val="24"/>
          <w:szCs w:val="24"/>
        </w:rPr>
        <w:t>报价包含与乙方施工生产相关的安全和文明施工所发生的一切费用（乙方应做好工完场清，收工后及时整理现场的施工环境，现场的安全防护、文明施工按照甲方的管理规定执行）。</w:t>
      </w:r>
    </w:p>
    <w:p>
      <w:pPr>
        <w:spacing w:line="360" w:lineRule="auto"/>
        <w:ind w:firstLine="480" w:firstLineChars="200"/>
        <w:jc w:val="left"/>
        <w:rPr>
          <w:rFonts w:hint="eastAsia" w:ascii="宋体" w:hAnsi="宋体" w:cs="宋体"/>
          <w:color w:val="1D41D5"/>
          <w:sz w:val="24"/>
          <w:szCs w:val="24"/>
        </w:rPr>
      </w:pPr>
      <w:r>
        <w:rPr>
          <w:rFonts w:hint="eastAsia" w:ascii="宋体" w:hAnsi="宋体" w:cs="宋体"/>
          <w:color w:val="1D41D5"/>
          <w:sz w:val="24"/>
          <w:szCs w:val="24"/>
        </w:rPr>
        <w:t>6、由于乙方原因而被业主处以的罚款及索赔由乙方负责赔付，甲方保留另行追加处罚的权利。</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7、</w:t>
      </w:r>
      <w:r>
        <w:rPr>
          <w:rFonts w:hint="eastAsia" w:ascii="宋体" w:hAnsi="宋体"/>
          <w:color w:val="000000"/>
          <w:sz w:val="24"/>
          <w:szCs w:val="24"/>
        </w:rPr>
        <w:t>乙方必须自行考虑吃、住、体检及所有的劳保用品的费用，上班的交通工具由乙方自行负责，并服从甲方管理</w:t>
      </w:r>
      <w:r>
        <w:rPr>
          <w:rFonts w:hint="eastAsia" w:ascii="宋体" w:hAnsi="宋体"/>
          <w:color w:val="000000"/>
          <w:sz w:val="24"/>
          <w:highlight w:val="yellow"/>
        </w:rPr>
        <w:t>（车辆入场只能为皮卡车或者面包车，小车不得驶入施工现场）</w:t>
      </w:r>
      <w:r>
        <w:rPr>
          <w:rFonts w:hint="eastAsia" w:ascii="宋体" w:hAnsi="宋体"/>
          <w:color w:val="000000"/>
          <w:sz w:val="24"/>
          <w:szCs w:val="24"/>
          <w:highlight w:val="yellow"/>
        </w:rPr>
        <w:t>。</w:t>
      </w:r>
      <w:r>
        <w:rPr>
          <w:rFonts w:hint="eastAsia" w:ascii="宋体" w:hAnsi="宋体"/>
          <w:color w:val="000000"/>
          <w:sz w:val="24"/>
          <w:highlight w:val="yellow"/>
        </w:rPr>
        <w:t>甲方可提供板房宿舍，单人间每月租金1000元；双人间每月租金600元；居住五人及以上人员每间每月租金400元；宿舍及生活区严禁堆放易燃易爆物品和化学危险品；员工宿舍不允许作为工具房，如有此种情况，请及时搬离，如不搬离，每间每月收取1000元，水电费用按实计取，住宿费、水电费需在当月签字确认，在进度款中进行扣除，如未签字确认暂停支付进度款。</w:t>
      </w:r>
      <w:r>
        <w:rPr>
          <w:rFonts w:hint="eastAsia" w:ascii="宋体" w:hAnsi="宋体" w:cs="宋体"/>
          <w:sz w:val="24"/>
          <w:szCs w:val="24"/>
          <w:highlight w:val="yellow"/>
        </w:rPr>
        <w:t>劳保用品由甲方提供，费用由乙方承担。</w:t>
      </w:r>
      <w:r>
        <w:rPr>
          <w:rFonts w:hint="eastAsia" w:ascii="宋体" w:hAnsi="宋体"/>
          <w:color w:val="000000"/>
          <w:sz w:val="24"/>
          <w:szCs w:val="24"/>
          <w:highlight w:val="yellow"/>
        </w:rPr>
        <w:t>工作服、安全帽由甲方统一提供，费用按125元/套暂扣（安全帽35元，工作服90元）；乙方退场前应将安全帽、工作服全数退还甲方，甲方退还65元/套（甲方收取工作服45元/套，安全帽15元/个），如有缺失，不予退还暂扣金150元/套（工作服105元/套，安全帽45元/个）。</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8、报价包含现场所有施工人员必须投保意外伤害保险，保费由总包单位与施工乙方平均分担，投保人员必须是施工现场实际施工人员，发现乙方虚报、满报，所有保费全额由施工乙方承担，甲方将同时对施工乙方处以工程造价5%的处罚。</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9、报价包含工程施工中各类工作票（许可证）由乙方派专人负责提前一天找业主办理，费用自行考虑。</w:t>
      </w:r>
    </w:p>
    <w:p>
      <w:pPr>
        <w:pStyle w:val="2"/>
        <w:ind w:left="0" w:leftChars="0" w:firstLine="480"/>
      </w:pPr>
      <w:r>
        <w:rPr>
          <w:rFonts w:hint="eastAsia"/>
        </w:rPr>
        <w:t>10、报价需考虑监护人员费用。</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11、报价需考虑设备材料图纸迟供等造成可能出现的窝工、停工、待工损失费用。</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15 起重、司索、履带吊司机人员应当符合下列条件：</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15.1 起重、司索、履带吊司机人员必须经专门的安全技术培训并考核合格，取得《中华人民共和国特种作业操作证》后，方可上岗作业。</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15.2 起重、司索、履带吊司机人员有下列情形之一，不得从事起重、司索、履带吊司机搭设作业：</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（1）健康体检不合格，存在高处作业禁忌症的；</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（2）违章操作造成严重后果或者有2次以上违章行为，并经查证确实的；</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（3）有安全生产违法行为，并给予行政处罚的；</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（4）拒绝、阻碍安全生产监管监察部门监督检查的；</w:t>
      </w:r>
    </w:p>
    <w:p>
      <w:pPr>
        <w:spacing w:line="360" w:lineRule="auto"/>
        <w:ind w:firstLine="480" w:firstLineChars="200"/>
        <w:jc w:val="left"/>
        <w:rPr>
          <w:rFonts w:hint="eastAsia" w:ascii="宋体" w:hAnsi="宋体" w:cs="宋体"/>
          <w:color w:val="FF0000"/>
          <w:sz w:val="24"/>
          <w:szCs w:val="24"/>
        </w:rPr>
      </w:pPr>
      <w:r>
        <w:rPr>
          <w:rFonts w:hint="eastAsia" w:ascii="宋体" w:hAnsi="宋体" w:cs="宋体"/>
          <w:color w:val="FF0000"/>
          <w:sz w:val="24"/>
          <w:szCs w:val="24"/>
        </w:rPr>
        <w:t>（5）未按规定参加安全培训，或者考试不合格的。</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16、除非合同中另有规定，乙方应针对本次工程招标范围、工程质量目标、工程建设进度要求的实际情况，充分预见到各种风险，依据招标文件要求，结合本单位的经验对提供全面的服务发生的所有费用进行自主报价。招标单位欣赏乙方有竞争力的报价。</w:t>
      </w:r>
    </w:p>
    <w:p>
      <w:pPr>
        <w:pStyle w:val="3"/>
        <w:rPr>
          <w:b w:val="0"/>
          <w:bCs w:val="0"/>
          <w:sz w:val="28"/>
          <w:szCs w:val="28"/>
        </w:rPr>
      </w:pPr>
      <w:bookmarkStart w:id="13" w:name="_Toc192084509"/>
      <w:bookmarkStart w:id="14" w:name="_Toc32149"/>
      <w:r>
        <w:rPr>
          <w:rFonts w:hint="eastAsia"/>
          <w:sz w:val="28"/>
          <w:szCs w:val="28"/>
        </w:rPr>
        <w:t>八、特殊说明</w:t>
      </w:r>
      <w:bookmarkEnd w:id="13"/>
      <w:bookmarkEnd w:id="14"/>
    </w:p>
    <w:p>
      <w:pPr>
        <w:spacing w:line="360" w:lineRule="auto"/>
        <w:ind w:right="-141" w:rightChars="-67" w:firstLine="480" w:firstLineChars="200"/>
        <w:rPr>
          <w:rFonts w:hint="eastAsia" w:ascii="宋体" w:hAnsi="宋体"/>
          <w:sz w:val="24"/>
        </w:rPr>
      </w:pPr>
      <w:r>
        <w:rPr>
          <w:rFonts w:hint="eastAsia" w:ascii="宋体" w:hAnsi="宋体"/>
          <w:color w:val="000000"/>
          <w:sz w:val="24"/>
        </w:rPr>
        <w:t>1、除按甲方与建设单位签订的相应条款执行外，还应按甲方质量监检与施工管理的有关规定执行。</w:t>
      </w:r>
    </w:p>
    <w:p>
      <w:pPr>
        <w:spacing w:line="360" w:lineRule="auto"/>
        <w:ind w:right="-141" w:rightChars="-67" w:firstLine="480" w:firstLineChars="200"/>
        <w:rPr>
          <w:rFonts w:hint="eastAsia" w:ascii="宋体" w:hAnsi="宋体"/>
          <w:sz w:val="24"/>
        </w:rPr>
      </w:pPr>
      <w:r>
        <w:rPr>
          <w:rFonts w:hint="eastAsia" w:ascii="宋体" w:hAnsi="宋体"/>
          <w:color w:val="000000"/>
          <w:sz w:val="24"/>
        </w:rPr>
        <w:t>2、施工及验收规范和质量检验评定标准：按甲方签订的总包合同相应条款执行。若发现质量问题，乙方应根据甲方的要求限期返修至合格，并承担其费用，同时应负担由此给甲方造成的罚款与其他经济损失。隐蔽工程必须在甲方、业主或监理、供货商一致检查验收通过后，才可以进行下一步工序，若违反造成重复返工，由乙方负责。</w:t>
      </w:r>
    </w:p>
    <w:p>
      <w:pPr>
        <w:spacing w:line="360" w:lineRule="auto"/>
        <w:ind w:firstLine="480" w:firstLineChars="200"/>
        <w:rPr>
          <w:sz w:val="24"/>
          <w:szCs w:val="24"/>
        </w:rPr>
      </w:pPr>
      <w:r>
        <w:rPr>
          <w:rFonts w:hint="eastAsia"/>
          <w:sz w:val="24"/>
          <w:szCs w:val="24"/>
        </w:rPr>
        <w:t>3、施工用水用电：用水用电机具、材料须经业主验收合格、贴标使用，三级配电箱为界，箱后临时用电布置及维护费用由乙方负责。</w:t>
      </w:r>
    </w:p>
    <w:p>
      <w:pPr>
        <w:spacing w:line="360" w:lineRule="auto"/>
        <w:ind w:firstLine="480" w:firstLineChars="200"/>
        <w:rPr>
          <w:sz w:val="24"/>
          <w:szCs w:val="24"/>
        </w:rPr>
      </w:pPr>
      <w:r>
        <w:rPr>
          <w:rFonts w:hint="eastAsia"/>
          <w:sz w:val="24"/>
          <w:szCs w:val="24"/>
        </w:rPr>
        <w:t>4、</w:t>
      </w:r>
      <w:r>
        <w:rPr>
          <w:rFonts w:hint="eastAsia"/>
          <w:sz w:val="24"/>
          <w:szCs w:val="24"/>
          <w:highlight w:val="yellow"/>
        </w:rPr>
        <w:t>分包乙方在履带吊进场、组装、退场期间必须配备由1名班长带队的足够的组装人员。配备2名有经验的持证起重指挥；</w:t>
      </w:r>
    </w:p>
    <w:p>
      <w:pPr>
        <w:spacing w:line="360" w:lineRule="auto"/>
        <w:ind w:firstLine="480" w:firstLineChars="200"/>
        <w:rPr>
          <w:sz w:val="24"/>
          <w:szCs w:val="24"/>
        </w:rPr>
      </w:pPr>
      <w:r>
        <w:rPr>
          <w:rFonts w:hint="eastAsia"/>
          <w:sz w:val="24"/>
          <w:szCs w:val="24"/>
        </w:rPr>
        <w:t>5、按甲方的时间要求，在追赶施工进度期间需要两班或三班连续作业，因此施工乙方需配备足够施工人员。</w:t>
      </w:r>
    </w:p>
    <w:p>
      <w:pPr>
        <w:spacing w:line="360" w:lineRule="auto"/>
        <w:ind w:firstLine="480" w:firstLineChars="200"/>
        <w:rPr>
          <w:sz w:val="24"/>
          <w:szCs w:val="24"/>
        </w:rPr>
      </w:pPr>
      <w:r>
        <w:rPr>
          <w:rFonts w:hint="eastAsia"/>
          <w:sz w:val="24"/>
          <w:szCs w:val="24"/>
        </w:rPr>
        <w:t>6、进场人员必须统一着装，佩戴安全帽、劳保鞋、防护眼镜、反光背心、双勾带缓冲包五点式安全带；所有进场人员必须服从项目管理人员和业主管理人员的管理。业主规章制度完备齐全，必须服从其对工程施工和管理的要求。高空作业安全带必须为五点双大挂钩缓冲式安全带，如果没有配戴安全带或不合格的安全带每次不低于300元进行处罚。进入现场时必须按规定佩戴劳动防护用品。</w:t>
      </w:r>
    </w:p>
    <w:p>
      <w:pPr>
        <w:spacing w:line="360" w:lineRule="auto"/>
        <w:ind w:firstLine="480" w:firstLineChars="200"/>
        <w:rPr>
          <w:sz w:val="24"/>
          <w:szCs w:val="24"/>
        </w:rPr>
      </w:pPr>
      <w:r>
        <w:rPr>
          <w:rFonts w:hint="eastAsia"/>
          <w:sz w:val="24"/>
          <w:szCs w:val="24"/>
        </w:rPr>
        <w:t>7、遵守业主的各项规章制度，由于乙方原因而被业主处以的罚款及索赔由乙方负责赔付，工程甲方保留另行追加处罚的权利。</w:t>
      </w:r>
    </w:p>
    <w:p>
      <w:pPr>
        <w:spacing w:line="360" w:lineRule="auto"/>
        <w:ind w:firstLine="480" w:firstLineChars="200"/>
        <w:rPr>
          <w:sz w:val="24"/>
          <w:szCs w:val="24"/>
        </w:rPr>
      </w:pPr>
      <w:r>
        <w:rPr>
          <w:rFonts w:hint="eastAsia"/>
          <w:sz w:val="24"/>
          <w:szCs w:val="24"/>
          <w:highlight w:val="yellow"/>
        </w:rPr>
        <w:t>8、配合甲方完成完善所属安装工作的方案、各类报表、计划以及交竣工资料。</w:t>
      </w:r>
    </w:p>
    <w:p>
      <w:pPr>
        <w:spacing w:line="360" w:lineRule="auto"/>
        <w:ind w:firstLine="480" w:firstLineChars="200"/>
        <w:rPr>
          <w:sz w:val="24"/>
          <w:szCs w:val="24"/>
        </w:rPr>
      </w:pPr>
      <w:r>
        <w:rPr>
          <w:rFonts w:hint="eastAsia"/>
          <w:sz w:val="24"/>
          <w:szCs w:val="24"/>
        </w:rPr>
        <w:t>9、施工人员年龄满18周岁且不超过60周岁（其中女性不超过50周岁）。</w:t>
      </w:r>
    </w:p>
    <w:p>
      <w:pPr>
        <w:spacing w:line="360" w:lineRule="auto"/>
        <w:ind w:firstLine="480" w:firstLineChars="200"/>
        <w:rPr>
          <w:sz w:val="24"/>
          <w:szCs w:val="24"/>
        </w:rPr>
      </w:pPr>
      <w:r>
        <w:rPr>
          <w:rFonts w:hint="eastAsia"/>
          <w:sz w:val="24"/>
          <w:szCs w:val="24"/>
        </w:rPr>
        <w:t>10、人员进场必须先到甲方登记，提供乙方人员2张1寸个人彩照办理进出厂证，提供无犯罪证明；（公安章）及体检报告（半年以内、县级以上的医院），进行安全培训后方能开始施工。</w:t>
      </w:r>
      <w:r>
        <w:rPr>
          <w:rFonts w:hint="eastAsia"/>
          <w:sz w:val="24"/>
          <w:szCs w:val="24"/>
          <w:highlight w:val="yellow"/>
        </w:rPr>
        <w:t>上下班必须刷脸打卡，严格服从甲方考勤制度。</w:t>
      </w:r>
    </w:p>
    <w:p>
      <w:pPr>
        <w:spacing w:line="360" w:lineRule="auto"/>
        <w:ind w:firstLine="480" w:firstLineChars="200"/>
        <w:rPr>
          <w:sz w:val="24"/>
          <w:szCs w:val="24"/>
        </w:rPr>
      </w:pPr>
      <w:r>
        <w:rPr>
          <w:rFonts w:hint="eastAsia"/>
          <w:sz w:val="24"/>
          <w:szCs w:val="24"/>
        </w:rPr>
        <w:t>11、交通车辆和施工机械依照</w:t>
      </w:r>
      <w:r>
        <w:rPr>
          <w:rFonts w:hint="eastAsia"/>
          <w:color w:val="FF0000"/>
          <w:sz w:val="24"/>
          <w:szCs w:val="24"/>
          <w:highlight w:val="yellow"/>
        </w:rPr>
        <w:t>福海创</w:t>
      </w:r>
      <w:r>
        <w:rPr>
          <w:rFonts w:hint="eastAsia"/>
          <w:sz w:val="24"/>
          <w:szCs w:val="24"/>
        </w:rPr>
        <w:t>要求办证、验收、有合格证及贴标，交通车辆和施工机械停放在业主要求的相应区域，不得乱停乱放。</w:t>
      </w:r>
    </w:p>
    <w:p>
      <w:pPr>
        <w:spacing w:line="360" w:lineRule="auto"/>
        <w:ind w:firstLine="480" w:firstLineChars="200"/>
        <w:rPr>
          <w:sz w:val="24"/>
          <w:szCs w:val="24"/>
        </w:rPr>
      </w:pPr>
      <w:r>
        <w:rPr>
          <w:rFonts w:hint="eastAsia"/>
          <w:sz w:val="24"/>
          <w:szCs w:val="24"/>
        </w:rPr>
        <w:t>12、设备、材料运输过程中，要采取防护措施，轻拿轻放，以免损毁、污染设备、材料。如确有不可避免的污染，需及时清理。堆放设备、材料必须符合公司物料管理规定，不得直接堆放在地面上，露天堆放要遮盖。</w:t>
      </w:r>
    </w:p>
    <w:p>
      <w:pPr>
        <w:spacing w:line="360" w:lineRule="auto"/>
        <w:ind w:firstLine="480" w:firstLineChars="200"/>
        <w:rPr>
          <w:sz w:val="24"/>
          <w:szCs w:val="24"/>
        </w:rPr>
      </w:pPr>
      <w:r>
        <w:rPr>
          <w:rFonts w:hint="eastAsia"/>
          <w:sz w:val="24"/>
          <w:szCs w:val="24"/>
        </w:rPr>
        <w:t>13、遵守业主规定，进出场的机具必须登记，否则无法顺畅出入。</w:t>
      </w:r>
    </w:p>
    <w:p>
      <w:pPr>
        <w:spacing w:line="360" w:lineRule="auto"/>
        <w:ind w:firstLine="480" w:firstLineChars="200"/>
        <w:rPr>
          <w:sz w:val="24"/>
          <w:szCs w:val="24"/>
        </w:rPr>
      </w:pPr>
      <w:r>
        <w:rPr>
          <w:rFonts w:hint="eastAsia"/>
          <w:sz w:val="24"/>
          <w:szCs w:val="24"/>
        </w:rPr>
        <w:t>14、特殊工种要求：</w:t>
      </w:r>
      <w:r>
        <w:rPr>
          <w:kern w:val="0"/>
          <w:sz w:val="24"/>
          <w:szCs w:val="24"/>
        </w:rPr>
        <w:t>法律规定需要持证上岗的特殊工种作业人员，必须具有行政管理部门颁发的</w:t>
      </w:r>
      <w:r>
        <w:rPr>
          <w:rFonts w:hint="eastAsia"/>
          <w:kern w:val="0"/>
          <w:sz w:val="24"/>
          <w:szCs w:val="24"/>
        </w:rPr>
        <w:t>相应岗位的</w:t>
      </w:r>
      <w:r>
        <w:rPr>
          <w:kern w:val="0"/>
          <w:sz w:val="24"/>
          <w:szCs w:val="24"/>
        </w:rPr>
        <w:t>特殊工种上岗证，并在相应作业人员进场前报送总乙方审核并备案。特殊工种作业人员</w:t>
      </w:r>
      <w:r>
        <w:rPr>
          <w:rFonts w:hint="eastAsia"/>
          <w:kern w:val="0"/>
          <w:sz w:val="24"/>
          <w:szCs w:val="24"/>
        </w:rPr>
        <w:t>不具备</w:t>
      </w:r>
      <w:r>
        <w:rPr>
          <w:kern w:val="0"/>
          <w:sz w:val="24"/>
          <w:szCs w:val="24"/>
        </w:rPr>
        <w:t>上岗证的，</w:t>
      </w:r>
      <w:r>
        <w:rPr>
          <w:rFonts w:hint="eastAsia"/>
          <w:kern w:val="0"/>
          <w:sz w:val="24"/>
          <w:szCs w:val="24"/>
        </w:rPr>
        <w:t>不得</w:t>
      </w:r>
      <w:r>
        <w:rPr>
          <w:kern w:val="0"/>
          <w:sz w:val="24"/>
          <w:szCs w:val="24"/>
        </w:rPr>
        <w:t>上岗，</w:t>
      </w:r>
      <w:r>
        <w:rPr>
          <w:rFonts w:hint="eastAsia"/>
          <w:kern w:val="0"/>
          <w:sz w:val="24"/>
          <w:szCs w:val="24"/>
        </w:rPr>
        <w:t>乙方</w:t>
      </w:r>
      <w:r>
        <w:rPr>
          <w:kern w:val="0"/>
          <w:sz w:val="24"/>
          <w:szCs w:val="24"/>
        </w:rPr>
        <w:t>应</w:t>
      </w:r>
      <w:r>
        <w:rPr>
          <w:rFonts w:hint="eastAsia"/>
          <w:kern w:val="0"/>
          <w:sz w:val="24"/>
          <w:szCs w:val="24"/>
        </w:rPr>
        <w:t>立即按照总乙方要求重新安排具备上岗证的作业人员。由此增加的费用和（或）延误的工期由乙方承担。</w:t>
      </w:r>
      <w:r>
        <w:rPr>
          <w:rFonts w:hint="eastAsia"/>
          <w:sz w:val="24"/>
          <w:szCs w:val="24"/>
        </w:rPr>
        <w:t>本项目人员进场业主统一培训、考试合格、拿证时间考虑3工作日，所有进场人员需要提供体检报告，若园区体检体检费用每人165元乙方负责；涉及焊接工作必须有焊工证；高空作业须有高空作业证，高压作业需要高压电工证；其余电气仪表必须有相应电工证，施工人员需要参加早班会，每处危险作业需要专人监护；所有需要开票作业等由乙方负责；且所有人员须提供无犯罪记录证明；春节期间施工必须保证足够人员及机具留在施工现场施工或配合调试，如果没有足够人员和机具，将由项目提供，所发生的费用由乙方负责。</w:t>
      </w:r>
    </w:p>
    <w:p>
      <w:pPr>
        <w:spacing w:line="360" w:lineRule="auto"/>
        <w:ind w:firstLine="480" w:firstLineChars="200"/>
        <w:rPr>
          <w:sz w:val="24"/>
          <w:szCs w:val="24"/>
        </w:rPr>
      </w:pPr>
      <w:r>
        <w:rPr>
          <w:rFonts w:hint="eastAsia"/>
          <w:sz w:val="24"/>
          <w:szCs w:val="24"/>
        </w:rPr>
        <w:t>15、由于乙方原因而被业主处以的罚款及索赔由乙方负责赔付，甲方保留另行追加处罚的权利。</w:t>
      </w:r>
    </w:p>
    <w:p>
      <w:pPr>
        <w:spacing w:line="360" w:lineRule="auto"/>
        <w:ind w:firstLine="480" w:firstLineChars="200"/>
        <w:rPr>
          <w:sz w:val="24"/>
          <w:szCs w:val="24"/>
        </w:rPr>
      </w:pPr>
      <w:r>
        <w:rPr>
          <w:rFonts w:hint="eastAsia"/>
          <w:sz w:val="24"/>
          <w:szCs w:val="24"/>
        </w:rPr>
        <w:t>16、配合甲方完成完善所属安装工作的各类作业证、报表、计划以及交竣工资料。严格执行危险管控作业许可证规定（包括动火、动土、受限、高空、停送电、临时用电、吊装、探伤作业等），必须报告并经审核批准后方能施工，并指派专人负责现场监护。施工中不得擅自拆除、变更和破坏甲方防护设施及标志。</w:t>
      </w:r>
    </w:p>
    <w:p>
      <w:pPr>
        <w:spacing w:line="360" w:lineRule="auto"/>
        <w:ind w:right="-141" w:rightChars="-67" w:firstLine="480" w:firstLineChars="200"/>
        <w:rPr>
          <w:kern w:val="0"/>
          <w:sz w:val="24"/>
          <w:szCs w:val="24"/>
        </w:rPr>
      </w:pPr>
      <w:r>
        <w:rPr>
          <w:rFonts w:hint="eastAsia"/>
          <w:sz w:val="24"/>
          <w:szCs w:val="24"/>
        </w:rPr>
        <w:t>17、</w:t>
      </w:r>
      <w:r>
        <w:rPr>
          <w:rFonts w:hint="eastAsia"/>
          <w:kern w:val="0"/>
          <w:sz w:val="24"/>
          <w:szCs w:val="24"/>
        </w:rPr>
        <w:t>乙方</w:t>
      </w:r>
      <w:r>
        <w:rPr>
          <w:kern w:val="0"/>
          <w:sz w:val="24"/>
          <w:szCs w:val="24"/>
        </w:rPr>
        <w:t>不得将分包工程转包给第三人</w:t>
      </w:r>
      <w:r>
        <w:rPr>
          <w:rFonts w:hint="eastAsia"/>
          <w:kern w:val="0"/>
          <w:sz w:val="24"/>
          <w:szCs w:val="24"/>
        </w:rPr>
        <w:t>。乙方</w:t>
      </w:r>
      <w:r>
        <w:rPr>
          <w:kern w:val="0"/>
          <w:sz w:val="24"/>
          <w:szCs w:val="24"/>
        </w:rPr>
        <w:t>转包分包工程的，应</w:t>
      </w:r>
      <w:r>
        <w:rPr>
          <w:rFonts w:hint="eastAsia"/>
          <w:kern w:val="0"/>
          <w:sz w:val="24"/>
          <w:szCs w:val="24"/>
        </w:rPr>
        <w:t>向甲方</w:t>
      </w:r>
      <w:r>
        <w:rPr>
          <w:kern w:val="0"/>
          <w:sz w:val="24"/>
          <w:szCs w:val="24"/>
        </w:rPr>
        <w:t>承担违约责任</w:t>
      </w:r>
      <w:r>
        <w:rPr>
          <w:rFonts w:hint="eastAsia"/>
          <w:kern w:val="0"/>
          <w:sz w:val="24"/>
          <w:szCs w:val="24"/>
        </w:rPr>
        <w:t>：</w:t>
      </w:r>
      <w:r>
        <w:rPr>
          <w:rFonts w:hint="eastAsia"/>
          <w:kern w:val="0"/>
          <w:sz w:val="24"/>
          <w:szCs w:val="24"/>
          <w:u w:val="single"/>
        </w:rPr>
        <w:t xml:space="preserve"> 支付签约合同价10%的违约金 </w:t>
      </w:r>
      <w:r>
        <w:rPr>
          <w:rFonts w:hint="eastAsia"/>
          <w:kern w:val="0"/>
          <w:sz w:val="24"/>
          <w:szCs w:val="24"/>
        </w:rPr>
        <w:t>，甲方有权解除合同，并要求乙方赔偿其它损失</w:t>
      </w:r>
      <w:r>
        <w:rPr>
          <w:kern w:val="0"/>
          <w:sz w:val="24"/>
          <w:szCs w:val="24"/>
        </w:rPr>
        <w:t>。</w:t>
      </w:r>
    </w:p>
    <w:p>
      <w:pPr>
        <w:pStyle w:val="3"/>
        <w:rPr>
          <w:sz w:val="28"/>
          <w:szCs w:val="28"/>
        </w:rPr>
      </w:pPr>
      <w:bookmarkStart w:id="15" w:name="_Toc192084510"/>
      <w:r>
        <w:rPr>
          <w:rFonts w:hint="eastAsia"/>
          <w:sz w:val="28"/>
          <w:szCs w:val="28"/>
        </w:rPr>
        <w:t>九、技术要求</w:t>
      </w:r>
      <w:bookmarkEnd w:id="15"/>
    </w:p>
    <w:p>
      <w:pPr>
        <w:ind w:firstLine="480" w:firstLineChars="200"/>
        <w:rPr>
          <w:highlight w:val="yellow"/>
        </w:rPr>
      </w:pPr>
      <w:r>
        <w:rPr>
          <w:rFonts w:hint="eastAsia"/>
          <w:sz w:val="24"/>
          <w:szCs w:val="24"/>
          <w:highlight w:val="yellow"/>
        </w:rPr>
        <w:t>配合甲方完成吊装方案专家论证</w:t>
      </w:r>
    </w:p>
    <w:p>
      <w:pPr>
        <w:spacing w:line="36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ZmZiNWFhNWU2ODdiNzlkYWIwZDVjMzlkMDJhZmEifQ=="/>
  </w:docVars>
  <w:rsids>
    <w:rsidRoot w:val="00D6714F"/>
    <w:rsid w:val="00014C71"/>
    <w:rsid w:val="000417F3"/>
    <w:rsid w:val="00052C27"/>
    <w:rsid w:val="000744CB"/>
    <w:rsid w:val="000A5C33"/>
    <w:rsid w:val="000A65A1"/>
    <w:rsid w:val="000B4484"/>
    <w:rsid w:val="000B783E"/>
    <w:rsid w:val="000D3241"/>
    <w:rsid w:val="000E4C06"/>
    <w:rsid w:val="000E6EC7"/>
    <w:rsid w:val="000E72B2"/>
    <w:rsid w:val="000F3292"/>
    <w:rsid w:val="000F4822"/>
    <w:rsid w:val="00104531"/>
    <w:rsid w:val="00125B72"/>
    <w:rsid w:val="00125D2C"/>
    <w:rsid w:val="00131FD4"/>
    <w:rsid w:val="00152998"/>
    <w:rsid w:val="00166871"/>
    <w:rsid w:val="00170A72"/>
    <w:rsid w:val="00174B34"/>
    <w:rsid w:val="00181EF3"/>
    <w:rsid w:val="001C7031"/>
    <w:rsid w:val="001D1B13"/>
    <w:rsid w:val="001F19D2"/>
    <w:rsid w:val="001F3D34"/>
    <w:rsid w:val="00207657"/>
    <w:rsid w:val="00241788"/>
    <w:rsid w:val="00264D02"/>
    <w:rsid w:val="002B4182"/>
    <w:rsid w:val="002C1803"/>
    <w:rsid w:val="002C19AA"/>
    <w:rsid w:val="002D6119"/>
    <w:rsid w:val="0030160E"/>
    <w:rsid w:val="003018AD"/>
    <w:rsid w:val="0031192B"/>
    <w:rsid w:val="003226F4"/>
    <w:rsid w:val="00324414"/>
    <w:rsid w:val="0033324B"/>
    <w:rsid w:val="003332A2"/>
    <w:rsid w:val="00344047"/>
    <w:rsid w:val="00354AD8"/>
    <w:rsid w:val="0036237C"/>
    <w:rsid w:val="00371F91"/>
    <w:rsid w:val="00387D82"/>
    <w:rsid w:val="003B58CB"/>
    <w:rsid w:val="003E17C7"/>
    <w:rsid w:val="003F1587"/>
    <w:rsid w:val="00401C10"/>
    <w:rsid w:val="004067F5"/>
    <w:rsid w:val="0042045B"/>
    <w:rsid w:val="0042768B"/>
    <w:rsid w:val="004324AF"/>
    <w:rsid w:val="00442762"/>
    <w:rsid w:val="00455928"/>
    <w:rsid w:val="0046167E"/>
    <w:rsid w:val="004629A5"/>
    <w:rsid w:val="004665D9"/>
    <w:rsid w:val="00474C44"/>
    <w:rsid w:val="004753ED"/>
    <w:rsid w:val="00486F7E"/>
    <w:rsid w:val="004B47A6"/>
    <w:rsid w:val="004C4274"/>
    <w:rsid w:val="004D5BA9"/>
    <w:rsid w:val="004E6FBA"/>
    <w:rsid w:val="004F2926"/>
    <w:rsid w:val="005020D1"/>
    <w:rsid w:val="0051249E"/>
    <w:rsid w:val="00513FF4"/>
    <w:rsid w:val="0055060E"/>
    <w:rsid w:val="00555D65"/>
    <w:rsid w:val="005836B2"/>
    <w:rsid w:val="00587596"/>
    <w:rsid w:val="00597AF0"/>
    <w:rsid w:val="005A092E"/>
    <w:rsid w:val="005D375C"/>
    <w:rsid w:val="005E5988"/>
    <w:rsid w:val="005F37CA"/>
    <w:rsid w:val="005F5BC0"/>
    <w:rsid w:val="00614F02"/>
    <w:rsid w:val="0062171E"/>
    <w:rsid w:val="00632688"/>
    <w:rsid w:val="0064763E"/>
    <w:rsid w:val="00651110"/>
    <w:rsid w:val="00651F5B"/>
    <w:rsid w:val="00654158"/>
    <w:rsid w:val="006612F0"/>
    <w:rsid w:val="006874A8"/>
    <w:rsid w:val="006B3878"/>
    <w:rsid w:val="006C156A"/>
    <w:rsid w:val="006F6985"/>
    <w:rsid w:val="00702CF8"/>
    <w:rsid w:val="00715914"/>
    <w:rsid w:val="007258B3"/>
    <w:rsid w:val="00750478"/>
    <w:rsid w:val="007530BD"/>
    <w:rsid w:val="007764CF"/>
    <w:rsid w:val="00783354"/>
    <w:rsid w:val="00785B4A"/>
    <w:rsid w:val="00786338"/>
    <w:rsid w:val="007A099C"/>
    <w:rsid w:val="007A2441"/>
    <w:rsid w:val="007A25EF"/>
    <w:rsid w:val="00812959"/>
    <w:rsid w:val="00825434"/>
    <w:rsid w:val="008451E9"/>
    <w:rsid w:val="00852FDC"/>
    <w:rsid w:val="00860977"/>
    <w:rsid w:val="008715F0"/>
    <w:rsid w:val="008B7F14"/>
    <w:rsid w:val="008D2E16"/>
    <w:rsid w:val="008F3ADD"/>
    <w:rsid w:val="008F482C"/>
    <w:rsid w:val="008F5468"/>
    <w:rsid w:val="008F632B"/>
    <w:rsid w:val="008F6F4A"/>
    <w:rsid w:val="009015DA"/>
    <w:rsid w:val="009101A1"/>
    <w:rsid w:val="00912E31"/>
    <w:rsid w:val="00913A67"/>
    <w:rsid w:val="00913FEC"/>
    <w:rsid w:val="00930796"/>
    <w:rsid w:val="00943580"/>
    <w:rsid w:val="0097677C"/>
    <w:rsid w:val="00995D04"/>
    <w:rsid w:val="009B6003"/>
    <w:rsid w:val="009B7417"/>
    <w:rsid w:val="009F6E75"/>
    <w:rsid w:val="00A04CDB"/>
    <w:rsid w:val="00A25456"/>
    <w:rsid w:val="00A302BF"/>
    <w:rsid w:val="00A362F1"/>
    <w:rsid w:val="00A43795"/>
    <w:rsid w:val="00A553FC"/>
    <w:rsid w:val="00A84622"/>
    <w:rsid w:val="00A9395D"/>
    <w:rsid w:val="00AB1333"/>
    <w:rsid w:val="00AC304E"/>
    <w:rsid w:val="00AD71C5"/>
    <w:rsid w:val="00AE0D69"/>
    <w:rsid w:val="00AF36D3"/>
    <w:rsid w:val="00AF6A4F"/>
    <w:rsid w:val="00B06CFA"/>
    <w:rsid w:val="00B14BB9"/>
    <w:rsid w:val="00B24109"/>
    <w:rsid w:val="00B322CB"/>
    <w:rsid w:val="00B5231C"/>
    <w:rsid w:val="00B65F30"/>
    <w:rsid w:val="00B838A2"/>
    <w:rsid w:val="00B913A7"/>
    <w:rsid w:val="00BB0375"/>
    <w:rsid w:val="00BB3D9E"/>
    <w:rsid w:val="00BB499F"/>
    <w:rsid w:val="00BB57DE"/>
    <w:rsid w:val="00BC0E5B"/>
    <w:rsid w:val="00BC59F9"/>
    <w:rsid w:val="00BF4C4C"/>
    <w:rsid w:val="00C17071"/>
    <w:rsid w:val="00C17282"/>
    <w:rsid w:val="00C23365"/>
    <w:rsid w:val="00C352A6"/>
    <w:rsid w:val="00C41284"/>
    <w:rsid w:val="00C41D84"/>
    <w:rsid w:val="00C8056A"/>
    <w:rsid w:val="00C808EA"/>
    <w:rsid w:val="00C82FC7"/>
    <w:rsid w:val="00C8303C"/>
    <w:rsid w:val="00C90ED1"/>
    <w:rsid w:val="00C9272B"/>
    <w:rsid w:val="00C92C5E"/>
    <w:rsid w:val="00CA3FE4"/>
    <w:rsid w:val="00CA744E"/>
    <w:rsid w:val="00CB4424"/>
    <w:rsid w:val="00CD361C"/>
    <w:rsid w:val="00CE7E13"/>
    <w:rsid w:val="00CF23D1"/>
    <w:rsid w:val="00D039EE"/>
    <w:rsid w:val="00D1271C"/>
    <w:rsid w:val="00D12C12"/>
    <w:rsid w:val="00D14B77"/>
    <w:rsid w:val="00D157B2"/>
    <w:rsid w:val="00D16ABF"/>
    <w:rsid w:val="00D23F02"/>
    <w:rsid w:val="00D63A84"/>
    <w:rsid w:val="00D6714F"/>
    <w:rsid w:val="00D71A43"/>
    <w:rsid w:val="00D90DC1"/>
    <w:rsid w:val="00D96CE0"/>
    <w:rsid w:val="00DA3F6E"/>
    <w:rsid w:val="00DD7EF8"/>
    <w:rsid w:val="00DE3D83"/>
    <w:rsid w:val="00DE7405"/>
    <w:rsid w:val="00E0182A"/>
    <w:rsid w:val="00E04425"/>
    <w:rsid w:val="00E176D2"/>
    <w:rsid w:val="00E20570"/>
    <w:rsid w:val="00E22DB5"/>
    <w:rsid w:val="00E373A9"/>
    <w:rsid w:val="00E3745F"/>
    <w:rsid w:val="00E46913"/>
    <w:rsid w:val="00E6671C"/>
    <w:rsid w:val="00EA6662"/>
    <w:rsid w:val="00EB34E7"/>
    <w:rsid w:val="00EC52DC"/>
    <w:rsid w:val="00ED327A"/>
    <w:rsid w:val="00ED5391"/>
    <w:rsid w:val="00EF1CDA"/>
    <w:rsid w:val="00EF36E7"/>
    <w:rsid w:val="00EF4168"/>
    <w:rsid w:val="00EF42A3"/>
    <w:rsid w:val="00EF43DE"/>
    <w:rsid w:val="00F1297A"/>
    <w:rsid w:val="00F165BF"/>
    <w:rsid w:val="00F41663"/>
    <w:rsid w:val="00F56C76"/>
    <w:rsid w:val="00F61409"/>
    <w:rsid w:val="00F66712"/>
    <w:rsid w:val="00F7153D"/>
    <w:rsid w:val="00F8532F"/>
    <w:rsid w:val="00FA4F97"/>
    <w:rsid w:val="00FB5B77"/>
    <w:rsid w:val="00FC1792"/>
    <w:rsid w:val="00FC2A8F"/>
    <w:rsid w:val="00FC352A"/>
    <w:rsid w:val="00FE25A5"/>
    <w:rsid w:val="00FE3BB4"/>
    <w:rsid w:val="05C3647D"/>
    <w:rsid w:val="0F945EBD"/>
    <w:rsid w:val="14C555AE"/>
    <w:rsid w:val="185C089E"/>
    <w:rsid w:val="1BD31C6D"/>
    <w:rsid w:val="21F823E5"/>
    <w:rsid w:val="22B12F9F"/>
    <w:rsid w:val="2B131F65"/>
    <w:rsid w:val="2CBB6B04"/>
    <w:rsid w:val="2E9E0D30"/>
    <w:rsid w:val="38CB118F"/>
    <w:rsid w:val="3AC8068E"/>
    <w:rsid w:val="3CE4051F"/>
    <w:rsid w:val="463E65FD"/>
    <w:rsid w:val="496D7915"/>
    <w:rsid w:val="4E6314A0"/>
    <w:rsid w:val="50BD3216"/>
    <w:rsid w:val="5EA2270C"/>
    <w:rsid w:val="5F5B2690"/>
    <w:rsid w:val="67EF21D5"/>
    <w:rsid w:val="692F5A17"/>
    <w:rsid w:val="69357EC7"/>
    <w:rsid w:val="73215E50"/>
    <w:rsid w:val="7B2E3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sz w:val="32"/>
    </w:rPr>
  </w:style>
  <w:style w:type="paragraph" w:styleId="5">
    <w:name w:val="heading 4"/>
    <w:basedOn w:val="1"/>
    <w:next w:val="1"/>
    <w:autoRedefine/>
    <w:qFormat/>
    <w:uiPriority w:val="0"/>
    <w:pPr>
      <w:spacing w:before="100" w:beforeLines="100" w:after="100" w:afterLines="100" w:line="360" w:lineRule="auto"/>
      <w:ind w:firstLine="670" w:firstLineChars="250"/>
      <w:outlineLvl w:val="3"/>
    </w:pPr>
    <w:rPr>
      <w:b/>
      <w:color w:val="000000"/>
      <w:spacing w:val="-6"/>
      <w:kern w:val="0"/>
      <w:szCs w:val="28"/>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firstLine="200" w:firstLineChars="200"/>
      <w:jc w:val="left"/>
    </w:pPr>
    <w:rPr>
      <w:sz w:val="24"/>
    </w:rPr>
  </w:style>
  <w:style w:type="paragraph" w:styleId="6">
    <w:name w:val="Body Text"/>
    <w:basedOn w:val="1"/>
    <w:link w:val="22"/>
    <w:qFormat/>
    <w:uiPriority w:val="0"/>
    <w:pPr>
      <w:spacing w:line="288" w:lineRule="auto"/>
    </w:pPr>
    <w:rPr>
      <w:sz w:val="28"/>
    </w:rPr>
  </w:style>
  <w:style w:type="paragraph" w:styleId="7">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nhideWhenUsed/>
    <w:qFormat/>
    <w:uiPriority w:val="39"/>
    <w:pPr>
      <w:widowControl/>
      <w:spacing w:after="100" w:line="259" w:lineRule="auto"/>
      <w:jc w:val="left"/>
    </w:pPr>
    <w:rPr>
      <w:rFonts w:ascii="等线" w:hAnsi="等线" w:eastAsia="等线"/>
      <w:kern w:val="0"/>
      <w:sz w:val="22"/>
      <w:szCs w:val="22"/>
    </w:rPr>
  </w:style>
  <w:style w:type="paragraph" w:styleId="11">
    <w:name w:val="toc 2"/>
    <w:basedOn w:val="1"/>
    <w:next w:val="1"/>
    <w:qFormat/>
    <w:uiPriority w:val="39"/>
    <w:pPr>
      <w:ind w:left="420" w:leftChars="200"/>
    </w:p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Body Text First Indent"/>
    <w:basedOn w:val="6"/>
    <w:link w:val="23"/>
    <w:qFormat/>
    <w:uiPriority w:val="0"/>
    <w:pPr>
      <w:spacing w:after="120" w:line="240" w:lineRule="auto"/>
      <w:ind w:firstLine="420" w:firstLineChars="100"/>
    </w:pPr>
    <w:rPr>
      <w:sz w:val="21"/>
    </w:rPr>
  </w:style>
  <w:style w:type="character" w:styleId="16">
    <w:name w:val="Strong"/>
    <w:qFormat/>
    <w:uiPriority w:val="0"/>
    <w:rPr>
      <w:b/>
    </w:rPr>
  </w:style>
  <w:style w:type="character" w:styleId="17">
    <w:name w:val="Hyperlink"/>
    <w:unhideWhenUsed/>
    <w:qFormat/>
    <w:uiPriority w:val="99"/>
    <w:rPr>
      <w:color w:val="0563C1"/>
      <w:u w:val="single"/>
    </w:rPr>
  </w:style>
  <w:style w:type="character" w:customStyle="1" w:styleId="18">
    <w:name w:val="标题 1 字符"/>
    <w:link w:val="3"/>
    <w:qFormat/>
    <w:uiPriority w:val="0"/>
    <w:rPr>
      <w:b/>
      <w:bCs/>
      <w:kern w:val="44"/>
      <w:sz w:val="44"/>
      <w:szCs w:val="44"/>
    </w:rPr>
  </w:style>
  <w:style w:type="paragraph" w:customStyle="1" w:styleId="19">
    <w:name w:val="_Style 2"/>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20">
    <w:name w:val="标题 2 字符"/>
    <w:link w:val="4"/>
    <w:qFormat/>
    <w:uiPriority w:val="0"/>
    <w:rPr>
      <w:rFonts w:ascii="Arial" w:hAnsi="Arial" w:eastAsia="黑体"/>
      <w:b/>
      <w:sz w:val="32"/>
    </w:rPr>
  </w:style>
  <w:style w:type="paragraph" w:styleId="21">
    <w:name w:val="List Paragraph"/>
    <w:basedOn w:val="1"/>
    <w:unhideWhenUsed/>
    <w:qFormat/>
    <w:uiPriority w:val="99"/>
    <w:pPr>
      <w:ind w:firstLine="420" w:firstLineChars="200"/>
    </w:pPr>
  </w:style>
  <w:style w:type="character" w:customStyle="1" w:styleId="22">
    <w:name w:val="正文文本 字符"/>
    <w:basedOn w:val="15"/>
    <w:link w:val="6"/>
    <w:uiPriority w:val="0"/>
    <w:rPr>
      <w:kern w:val="2"/>
      <w:sz w:val="28"/>
    </w:rPr>
  </w:style>
  <w:style w:type="character" w:customStyle="1" w:styleId="23">
    <w:name w:val="正文文本首行缩进 字符"/>
    <w:basedOn w:val="22"/>
    <w:link w:val="13"/>
    <w:qFormat/>
    <w:uiPriority w:val="0"/>
    <w:rPr>
      <w:kern w:val="2"/>
      <w:sz w:val="21"/>
    </w:rPr>
  </w:style>
  <w:style w:type="character" w:customStyle="1" w:styleId="2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paragraph" w:customStyle="1" w:styleId="25">
    <w:name w:val="Body text|1"/>
    <w:basedOn w:val="1"/>
    <w:qFormat/>
    <w:uiPriority w:val="0"/>
    <w:pPr>
      <w:spacing w:line="394" w:lineRule="auto"/>
    </w:pPr>
    <w:rPr>
      <w:rFonts w:ascii="宋体" w:hAnsi="宋体" w:cs="宋体"/>
      <w:szCs w:val="24"/>
      <w:lang w:val="zh-TW" w:eastAsia="zh-TW" w:bidi="zh-TW"/>
    </w:rPr>
  </w:style>
  <w:style w:type="paragraph" w:customStyle="1" w:styleId="26">
    <w:name w:val="Body text|2"/>
    <w:basedOn w:val="1"/>
    <w:qFormat/>
    <w:uiPriority w:val="0"/>
    <w:pPr>
      <w:spacing w:after="180"/>
      <w:ind w:left="1060"/>
    </w:pPr>
    <w:rPr>
      <w:rFonts w:ascii="Calibri" w:hAnsi="Calibri"/>
      <w:szCs w:val="24"/>
    </w:rPr>
  </w:style>
  <w:style w:type="paragraph" w:customStyle="1" w:styleId="27">
    <w:name w:val="列表段落1"/>
    <w:basedOn w:val="1"/>
    <w:qFormat/>
    <w:uiPriority w:val="34"/>
    <w:pPr>
      <w:ind w:left="720"/>
      <w:contextualSpacing/>
    </w:pPr>
    <w:rPr>
      <w:rFonts w:ascii="Calibri" w:hAnsi="Calibri"/>
      <w:szCs w:val="2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76236-EEDC-4305-BBB8-B77A490DF272}">
  <ds:schemaRefs/>
</ds:datastoreItem>
</file>

<file path=docProps/app.xml><?xml version="1.0" encoding="utf-8"?>
<Properties xmlns="http://schemas.openxmlformats.org/officeDocument/2006/extended-properties" xmlns:vt="http://schemas.openxmlformats.org/officeDocument/2006/docPropsVTypes">
  <Template>Normal</Template>
  <Pages>11</Pages>
  <Words>1036</Words>
  <Characters>5906</Characters>
  <Lines>49</Lines>
  <Paragraphs>13</Paragraphs>
  <TotalTime>20</TotalTime>
  <ScaleCrop>false</ScaleCrop>
  <LinksUpToDate>false</LinksUpToDate>
  <CharactersWithSpaces>6929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2025-01-16T01:38:00Z</dcterms:created>
  <dc:creator>86138</dc:creator>
  <cp:lastModifiedBy>WPS_1601948979</cp:lastModifiedBy>
  <dcterms:modified xsi:type="dcterms:W3CDTF">2025-07-29T00:50:32Z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5CCF7B371B804E8E9AAE204C98FBB35F_13</vt:lpwstr>
  </property>
  <property fmtid="{D5CDD505-2E9C-101B-9397-08002B2CF9AE}" pid="4" name="KSOTemplateDocerSaveRecord">
    <vt:lpwstr>eyJoZGlkIjoiZTNmYjI3MGM5NmI3MmRiMWY5MDI2YzIyZTQ1ZTY0YmMiLCJ1c2VySWQiOiI2MDM0Njk2ODIifQ==</vt:lpwstr>
  </property>
</Properties>
</file>