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763A0">
      <w:pPr>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泉州演艺技术支座技术说明及相关要求</w:t>
      </w:r>
    </w:p>
    <w:p w14:paraId="1667BFC2">
      <w:pPr>
        <w:numPr>
          <w:ilvl w:val="0"/>
          <w:numId w:val="3"/>
        </w:num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球形钢支座：</w:t>
      </w:r>
    </w:p>
    <w:p w14:paraId="348F12B7">
      <w:pPr>
        <w:numPr>
          <w:ilvl w:val="0"/>
          <w:numId w:val="4"/>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支座坐标系同图纸坐标系方向。</w:t>
      </w:r>
    </w:p>
    <w:p w14:paraId="0D04660A">
      <w:pPr>
        <w:numPr>
          <w:ilvl w:val="0"/>
          <w:numId w:val="4"/>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支座尺寸仅供参考，待支座厂家确定后，支座及埋件尺寸有可能配合调整。</w:t>
      </w:r>
    </w:p>
    <w:p w14:paraId="004A3127">
      <w:pPr>
        <w:numPr>
          <w:ilvl w:val="0"/>
          <w:numId w:val="4"/>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支座由专业厂家设计并生产，并对支座承载力、变形能力等性能负责，设计院进行对设计图纸复核。</w:t>
      </w:r>
    </w:p>
    <w:p w14:paraId="265FA7F9">
      <w:pPr>
        <w:numPr>
          <w:ilvl w:val="0"/>
          <w:numId w:val="4"/>
        </w:numPr>
        <w:spacing w:line="360" w:lineRule="auto"/>
        <w:ind w:left="425" w:leftChars="0" w:hanging="5" w:firstLineChars="0"/>
        <w:rPr>
          <w:rFonts w:hint="eastAsia" w:ascii="宋体" w:hAnsi="宋体" w:eastAsia="宋体" w:cs="宋体"/>
          <w:color w:val="0000FF"/>
          <w:sz w:val="24"/>
          <w:szCs w:val="24"/>
        </w:rPr>
      </w:pPr>
      <w:r>
        <w:rPr>
          <w:rFonts w:hint="eastAsia" w:ascii="宋体" w:hAnsi="宋体" w:eastAsia="宋体" w:cs="宋体"/>
          <w:color w:val="0000FF"/>
          <w:sz w:val="24"/>
          <w:szCs w:val="24"/>
        </w:rPr>
        <w:t>摇摆柱对应的支座GQZ3-2</w:t>
      </w:r>
      <w:r>
        <w:rPr>
          <w:rFonts w:hint="eastAsia" w:ascii="宋体" w:hAnsi="宋体" w:eastAsia="宋体" w:cs="宋体"/>
          <w:color w:val="0000FF"/>
          <w:sz w:val="24"/>
          <w:szCs w:val="24"/>
          <w:lang w:eastAsia="zh-CN"/>
        </w:rPr>
        <w:t>：</w:t>
      </w:r>
      <w:r>
        <w:rPr>
          <w:rFonts w:hint="eastAsia" w:ascii="宋体" w:hAnsi="宋体" w:eastAsia="宋体" w:cs="宋体"/>
          <w:color w:val="0000FF"/>
          <w:sz w:val="24"/>
          <w:szCs w:val="24"/>
        </w:rPr>
        <w:t>柱上支座下板边长≥8</w:t>
      </w:r>
      <w:r>
        <w:rPr>
          <w:rFonts w:hint="eastAsia" w:ascii="宋体" w:hAnsi="宋体" w:eastAsia="宋体" w:cs="宋体"/>
          <w:color w:val="0000FF"/>
          <w:sz w:val="24"/>
          <w:szCs w:val="24"/>
          <w:lang w:val="en-US" w:eastAsia="zh-CN"/>
        </w:rPr>
        <w:t>00，</w:t>
      </w:r>
      <w:r>
        <w:rPr>
          <w:rFonts w:hint="eastAsia" w:ascii="宋体" w:hAnsi="宋体" w:eastAsia="宋体" w:cs="宋体"/>
          <w:color w:val="0000FF"/>
          <w:sz w:val="24"/>
          <w:szCs w:val="24"/>
        </w:rPr>
        <w:t>柱下支座上板边长≥800</w:t>
      </w:r>
    </w:p>
    <w:p w14:paraId="2ACA7101">
      <w:pPr>
        <w:numPr>
          <w:ilvl w:val="0"/>
          <w:numId w:val="3"/>
        </w:numPr>
        <w:spacing w:line="360" w:lineRule="auto"/>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球形弹性支座：</w:t>
      </w:r>
    </w:p>
    <w:p w14:paraId="39C5615C">
      <w:pPr>
        <w:numPr>
          <w:ilvl w:val="0"/>
          <w:numId w:val="5"/>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双方向水平力1000KN，双方向水平位移±100mm。弹性方向水平刚度:4KN/mm。转角:0.015rad</w:t>
      </w:r>
    </w:p>
    <w:p w14:paraId="6477CAFD">
      <w:pPr>
        <w:numPr>
          <w:ilvl w:val="0"/>
          <w:numId w:val="5"/>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球形支座尺寸及样式仅供参考,后续以厂家提供参数为准</w:t>
      </w:r>
      <w:r>
        <w:rPr>
          <w:rFonts w:hint="eastAsia" w:ascii="宋体" w:hAnsi="宋体" w:eastAsia="宋体" w:cs="宋体"/>
          <w:sz w:val="24"/>
          <w:szCs w:val="24"/>
          <w:lang w:eastAsia="zh-CN"/>
        </w:rPr>
        <w:t>。</w:t>
      </w:r>
    </w:p>
    <w:p w14:paraId="5C593EA6">
      <w:pPr>
        <w:numPr>
          <w:ilvl w:val="0"/>
          <w:numId w:val="5"/>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支座与下方牛腿做法需要根据球形支座厂家深化后进行相应调整.</w:t>
      </w:r>
    </w:p>
    <w:p w14:paraId="4CA37B46">
      <w:pPr>
        <w:numPr>
          <w:ilvl w:val="0"/>
          <w:numId w:val="5"/>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rPr>
        <w:t>支座由专业厂家设计并生产，并对支座承载力、变形能力等性能负责</w:t>
      </w:r>
      <w:r>
        <w:rPr>
          <w:rFonts w:hint="eastAsia" w:ascii="宋体" w:hAnsi="宋体" w:eastAsia="宋体" w:cs="宋体"/>
          <w:sz w:val="24"/>
          <w:szCs w:val="24"/>
          <w:lang w:eastAsia="zh-CN"/>
        </w:rPr>
        <w:t>，</w:t>
      </w:r>
      <w:r>
        <w:rPr>
          <w:rFonts w:hint="eastAsia" w:ascii="宋体" w:hAnsi="宋体" w:eastAsia="宋体" w:cs="宋体"/>
          <w:sz w:val="24"/>
          <w:szCs w:val="24"/>
        </w:rPr>
        <w:t>设计院进行对设计图纸复核。</w:t>
      </w:r>
    </w:p>
    <w:p w14:paraId="141D30F0">
      <w:pPr>
        <w:numPr>
          <w:ilvl w:val="0"/>
          <w:numId w:val="5"/>
        </w:numPr>
        <w:spacing w:line="360" w:lineRule="auto"/>
        <w:ind w:left="425" w:leftChars="0" w:hanging="5" w:firstLineChars="0"/>
        <w:rPr>
          <w:rFonts w:hint="eastAsia" w:ascii="宋体" w:hAnsi="宋体" w:eastAsia="宋体" w:cs="宋体"/>
          <w:sz w:val="24"/>
          <w:szCs w:val="24"/>
        </w:rPr>
      </w:pPr>
      <w:r>
        <w:rPr>
          <w:rFonts w:hint="eastAsia" w:ascii="宋体" w:hAnsi="宋体" w:eastAsia="宋体" w:cs="宋体"/>
          <w:sz w:val="24"/>
          <w:szCs w:val="24"/>
          <w:lang w:val="en-US" w:eastAsia="zh-CN"/>
        </w:rPr>
        <w:t>球形弹性支座参考图</w:t>
      </w:r>
    </w:p>
    <w:p w14:paraId="155E3647">
      <w:pPr>
        <w:numPr>
          <w:ilvl w:val="0"/>
          <w:numId w:val="0"/>
        </w:numPr>
        <w:spacing w:line="360" w:lineRule="auto"/>
        <w:rPr>
          <w:rFonts w:hint="eastAsia" w:ascii="宋体" w:hAnsi="宋体" w:eastAsia="宋体" w:cs="宋体"/>
          <w:sz w:val="24"/>
          <w:szCs w:val="24"/>
        </w:rPr>
      </w:pPr>
      <w:r>
        <w:drawing>
          <wp:inline distT="0" distB="0" distL="114300" distR="114300">
            <wp:extent cx="5266690" cy="3343275"/>
            <wp:effectExtent l="0" t="0" r="381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6690" cy="3343275"/>
                    </a:xfrm>
                    <a:prstGeom prst="rect">
                      <a:avLst/>
                    </a:prstGeom>
                    <a:noFill/>
                    <a:ln>
                      <a:noFill/>
                    </a:ln>
                  </pic:spPr>
                </pic:pic>
              </a:graphicData>
            </a:graphic>
          </wp:inline>
        </w:drawing>
      </w:r>
    </w:p>
    <w:p w14:paraId="781A452A">
      <w:pPr>
        <w:numPr>
          <w:ilvl w:val="0"/>
          <w:numId w:val="3"/>
        </w:numPr>
        <w:spacing w:line="360" w:lineRule="auto"/>
        <w:ind w:left="0" w:leftChars="0" w:firstLine="0" w:firstLine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支座的材料及其他相关要求</w:t>
      </w:r>
    </w:p>
    <w:p w14:paraId="476B115B">
      <w:pPr>
        <w:numPr>
          <w:ilvl w:val="0"/>
          <w:numId w:val="6"/>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抗震球铰支座应由专业厂家生产,性能满足《建筑钢结构球型支座》(GB/T32836-2016)的要求,支座中采用的铸钢件满足《铸钢节点应用技术规程》(CECS235-2008)的G20Mn5QT,且满足-40°C、27J的冲击功要求。支座整体满足50年防腐要求,并宜进行承载能力试验验证力学性能满足设计要求。</w:t>
      </w:r>
    </w:p>
    <w:p w14:paraId="08D7B96E">
      <w:pPr>
        <w:numPr>
          <w:ilvl w:val="0"/>
          <w:numId w:val="6"/>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支座要求采用铸钢件，不得采用焊接件；铸钢件应逐件进行超声波探伤，探伤方法及质量评级方法按照GB/T7233.2的规定执行，铸钢件不应低于Ⅱ级质量要求。</w:t>
      </w:r>
    </w:p>
    <w:p w14:paraId="54C756F1">
      <w:pPr>
        <w:numPr>
          <w:ilvl w:val="0"/>
          <w:numId w:val="3"/>
        </w:numPr>
        <w:spacing w:line="360" w:lineRule="auto"/>
        <w:ind w:left="0" w:leftChars="0" w:firstLine="0" w:firstLine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支座的检验</w:t>
      </w:r>
    </w:p>
    <w:p w14:paraId="2C8B9763">
      <w:pPr>
        <w:numPr>
          <w:ilvl w:val="0"/>
          <w:numId w:val="7"/>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原材料检验</w:t>
      </w:r>
    </w:p>
    <w:p w14:paraId="53407256">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组成本项目的所有原材料在进场前均需进行验收检验，检验由中标厂家委托第三方有相应资质的检测单位执行，检验项目及要求应按照规范</w:t>
      </w:r>
      <w:r>
        <w:rPr>
          <w:rFonts w:hint="eastAsia" w:ascii="宋体" w:hAnsi="宋体" w:eastAsia="宋体" w:cs="宋体"/>
          <w:sz w:val="24"/>
          <w:szCs w:val="24"/>
        </w:rPr>
        <w:t>GB/T32836-2016</w:t>
      </w:r>
      <w:r>
        <w:rPr>
          <w:rFonts w:hint="eastAsia" w:ascii="宋体" w:hAnsi="宋体" w:eastAsia="宋体" w:cs="宋体"/>
          <w:sz w:val="24"/>
          <w:szCs w:val="24"/>
          <w:lang w:val="en-US" w:eastAsia="zh-CN"/>
        </w:rPr>
        <w:t>中的9.2.1章节——表8（进厂原材料检验）项目进行；有外加工件的，外加工件的材料同样需要送检，检验单位应由中标支座厂家委托，不得再次分包或委托外协单位委托。</w:t>
      </w:r>
    </w:p>
    <w:p w14:paraId="734F3DDC">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支座加工前，原材料的检验报告需及时提交我方确认，确认后再开始生产。</w:t>
      </w:r>
    </w:p>
    <w:p w14:paraId="6DF7A21A">
      <w:pPr>
        <w:numPr>
          <w:ilvl w:val="0"/>
          <w:numId w:val="7"/>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出厂检验</w:t>
      </w:r>
    </w:p>
    <w:p w14:paraId="418357FE">
      <w:pPr>
        <w:numPr>
          <w:ilvl w:val="0"/>
          <w:numId w:val="0"/>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出厂检验为支座生产厂在每批交货前进行的检验，检验由中标厂家委托第三方有相应资质的检测单位进行，检验项目及要求应按照规范</w:t>
      </w:r>
      <w:r>
        <w:rPr>
          <w:rFonts w:hint="eastAsia" w:ascii="宋体" w:hAnsi="宋体" w:eastAsia="宋体" w:cs="宋体"/>
          <w:sz w:val="24"/>
          <w:szCs w:val="24"/>
        </w:rPr>
        <w:t>GB/T32836-2016</w:t>
      </w:r>
      <w:r>
        <w:rPr>
          <w:rFonts w:hint="eastAsia" w:ascii="宋体" w:hAnsi="宋体" w:eastAsia="宋体" w:cs="宋体"/>
          <w:sz w:val="24"/>
          <w:szCs w:val="24"/>
          <w:lang w:val="en-US" w:eastAsia="zh-CN"/>
        </w:rPr>
        <w:t>中的9.2.1章节——表9（出厂检验）执行。当支座满足出厂验收条件时，应提前3-5天通知我方，我方视情况派遣相应人员参与出厂验收。</w:t>
      </w:r>
    </w:p>
    <w:p w14:paraId="52A67FD7">
      <w:pPr>
        <w:numPr>
          <w:ilvl w:val="0"/>
          <w:numId w:val="7"/>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型式检验</w:t>
      </w:r>
    </w:p>
    <w:p w14:paraId="1BDFE1D0">
      <w:pPr>
        <w:numPr>
          <w:ilvl w:val="1"/>
          <w:numId w:val="8"/>
        </w:numPr>
        <w:spacing w:line="360" w:lineRule="auto"/>
        <w:ind w:left="640" w:leftChars="0" w:hanging="42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当支座生产厂存在规范</w:t>
      </w:r>
      <w:r>
        <w:rPr>
          <w:rFonts w:hint="eastAsia" w:ascii="宋体" w:hAnsi="宋体" w:eastAsia="宋体" w:cs="宋体"/>
          <w:sz w:val="24"/>
          <w:szCs w:val="24"/>
        </w:rPr>
        <w:t>GB/T32836-2016</w:t>
      </w:r>
      <w:r>
        <w:rPr>
          <w:rFonts w:hint="eastAsia" w:ascii="宋体" w:hAnsi="宋体" w:eastAsia="宋体" w:cs="宋体"/>
          <w:sz w:val="24"/>
          <w:szCs w:val="24"/>
          <w:lang w:val="en-US" w:eastAsia="zh-CN"/>
        </w:rPr>
        <w:t>中的9.1.4章节中的5项情形之一时，应进行型式检验；</w:t>
      </w:r>
    </w:p>
    <w:p w14:paraId="6FA31D48">
      <w:pPr>
        <w:numPr>
          <w:ilvl w:val="1"/>
          <w:numId w:val="8"/>
        </w:numPr>
        <w:spacing w:line="360" w:lineRule="auto"/>
        <w:ind w:left="640" w:leftChars="0" w:hanging="420" w:firstLineChars="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按规范要求，需提交2年内与本项目相同类型支座（三向固定铰支座、双向滑动支座、单向滑动支座、球形弹性支座）的型式检验报告。</w:t>
      </w:r>
    </w:p>
    <w:p w14:paraId="7ED34A05">
      <w:pPr>
        <w:numPr>
          <w:ilvl w:val="0"/>
          <w:numId w:val="7"/>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第三方检验报告在支座送达现场时需随货一同交付。</w:t>
      </w:r>
    </w:p>
    <w:p w14:paraId="1AEBD38E">
      <w:pPr>
        <w:numPr>
          <w:ilvl w:val="0"/>
          <w:numId w:val="3"/>
        </w:numPr>
        <w:spacing w:line="360" w:lineRule="auto"/>
        <w:ind w:left="0" w:leftChars="0" w:firstLine="0" w:firstLine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其他说明</w:t>
      </w:r>
    </w:p>
    <w:p w14:paraId="4AC84F28">
      <w:pPr>
        <w:numPr>
          <w:ilvl w:val="0"/>
          <w:numId w:val="9"/>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支座产品出厂或交货时应有产品使用说明书，产品使用说明书应包括产品说明、安装说明、使用说明和维护保养说明等内容；</w:t>
      </w:r>
    </w:p>
    <w:p w14:paraId="2FD9B4DF">
      <w:pPr>
        <w:numPr>
          <w:ilvl w:val="0"/>
          <w:numId w:val="9"/>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每个支座包装应牢固可靠，应注明工程项目名称、规格型号、出厂日期、外形尺寸和质量，应附有质量检验单、产品合格证、使用说明书，技术文件应用塑料袋装好并封口；</w:t>
      </w:r>
    </w:p>
    <w:p w14:paraId="16B6BD5C">
      <w:pPr>
        <w:numPr>
          <w:ilvl w:val="0"/>
          <w:numId w:val="9"/>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其他未尽事宜按照规范</w:t>
      </w:r>
      <w:r>
        <w:rPr>
          <w:rFonts w:hint="eastAsia" w:ascii="宋体" w:hAnsi="宋体" w:eastAsia="宋体" w:cs="宋体"/>
          <w:sz w:val="24"/>
          <w:szCs w:val="24"/>
        </w:rPr>
        <w:t>GB/T32836-2016</w:t>
      </w:r>
      <w:r>
        <w:rPr>
          <w:rFonts w:hint="eastAsia" w:ascii="宋体" w:hAnsi="宋体" w:eastAsia="宋体" w:cs="宋体"/>
          <w:sz w:val="24"/>
          <w:szCs w:val="24"/>
          <w:lang w:val="en-US" w:eastAsia="zh-CN"/>
        </w:rPr>
        <w:t>执行。</w:t>
      </w:r>
    </w:p>
    <w:p w14:paraId="2EC4BD39">
      <w:pPr>
        <w:numPr>
          <w:ilvl w:val="0"/>
          <w:numId w:val="0"/>
        </w:numPr>
        <w:spacing w:line="360" w:lineRule="auto"/>
        <w:rPr>
          <w:rFonts w:hint="default" w:ascii="宋体" w:hAnsi="宋体" w:eastAsia="宋体" w:cs="宋体"/>
          <w:sz w:val="24"/>
          <w:szCs w:val="24"/>
          <w:lang w:val="en-US" w:eastAsia="zh-CN"/>
        </w:rPr>
      </w:pPr>
    </w:p>
    <w:p w14:paraId="4B1178FA">
      <w:pPr>
        <w:numPr>
          <w:ilvl w:val="0"/>
          <w:numId w:val="3"/>
        </w:numPr>
        <w:spacing w:line="360" w:lineRule="auto"/>
        <w:ind w:left="0" w:leftChars="0" w:firstLine="0" w:firstLine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报价说明</w:t>
      </w:r>
    </w:p>
    <w:p w14:paraId="71467B16">
      <w:pPr>
        <w:numPr>
          <w:ilvl w:val="0"/>
          <w:numId w:val="1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报价时，支座厂家应按我方提供的清单、图纸及技术要求，附上每种支座的方案图作为报价附件，图上需备注每种支座的技术说明等相关内容，未提供图纸或图纸内容与我方提供的清单、图纸及技术要求不符的，报价作废；</w:t>
      </w:r>
    </w:p>
    <w:p w14:paraId="3C4C5AB8">
      <w:pPr>
        <w:numPr>
          <w:ilvl w:val="0"/>
          <w:numId w:val="10"/>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支座厂家在报价时，需根据方案图在报价清单中列明每种型式支座的单体理论重量（kg）,并列明各类型支座单价（元/kg）。本次招标支座图纸非定稿图纸，若因设计变更而导致支座重量的变化，结算时将按照设计确认的定稿图纸进行结算（结算价=报价单价*设计确认图纸的理论重量）；</w:t>
      </w:r>
    </w:p>
    <w:p w14:paraId="16BFBE1E">
      <w:pPr>
        <w:numPr>
          <w:ilvl w:val="0"/>
          <w:numId w:val="10"/>
        </w:num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中标的支座厂家应无条件配合我方和设计院进行支座的设计和参数的调整等工作，此部分费用已包含在综合单价内，不再令行计价；</w:t>
      </w:r>
    </w:p>
    <w:p w14:paraId="3B8A2A37">
      <w:pPr>
        <w:numPr>
          <w:ilvl w:val="0"/>
          <w:numId w:val="10"/>
        </w:numPr>
        <w:spacing w:line="360" w:lineRule="auto"/>
        <w:rPr>
          <w:rFonts w:hint="default" w:ascii="宋体" w:hAnsi="宋体" w:eastAsia="宋体" w:cs="宋体"/>
          <w:color w:val="0000FF"/>
          <w:sz w:val="24"/>
          <w:szCs w:val="24"/>
          <w:lang w:val="en-US" w:eastAsia="zh-CN"/>
        </w:rPr>
      </w:pPr>
      <w:r>
        <w:rPr>
          <w:rFonts w:hint="eastAsia" w:ascii="宋体" w:hAnsi="宋体" w:eastAsia="宋体" w:cs="宋体"/>
          <w:color w:val="0000FF"/>
          <w:sz w:val="24"/>
          <w:szCs w:val="24"/>
          <w:lang w:val="en-US" w:eastAsia="zh-CN"/>
        </w:rPr>
        <w:t>业绩要求。报价支座厂家应提供与本项目相同类型支座（三向固定铰支座、双向滑动支座、单向滑动支座、球形弹性支座）至少各一个项目的合同扫描件作为业绩凭证，要求：提供的支座业绩的相关参数应大于等于本项目的参数要求。</w:t>
      </w:r>
    </w:p>
    <w:p w14:paraId="4A311E6D">
      <w:pPr>
        <w:numPr>
          <w:ilvl w:val="0"/>
          <w:numId w:val="10"/>
        </w:numPr>
        <w:spacing w:line="360" w:lineRule="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报价清单</w:t>
      </w:r>
    </w:p>
    <w:p w14:paraId="16D1423B">
      <w:pPr>
        <w:numPr>
          <w:ilvl w:val="0"/>
          <w:numId w:val="0"/>
        </w:numPr>
        <w:spacing w:line="360" w:lineRule="auto"/>
        <w:rPr>
          <w:rFonts w:hint="default" w:ascii="宋体" w:hAnsi="宋体" w:eastAsia="宋体" w:cs="宋体"/>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default" w:ascii="宋体" w:hAnsi="宋体" w:eastAsia="宋体" w:cs="宋体"/>
          <w:color w:val="auto"/>
          <w:sz w:val="24"/>
          <w:szCs w:val="24"/>
          <w:lang w:val="en-US" w:eastAsia="zh-CN"/>
        </w:rPr>
        <w:br w:type="textWrapping"/>
      </w:r>
    </w:p>
    <w:tbl>
      <w:tblPr>
        <w:tblStyle w:val="1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82"/>
        <w:gridCol w:w="2520"/>
        <w:gridCol w:w="766"/>
        <w:gridCol w:w="656"/>
        <w:gridCol w:w="972"/>
        <w:gridCol w:w="977"/>
        <w:gridCol w:w="1603"/>
        <w:gridCol w:w="1113"/>
        <w:gridCol w:w="2526"/>
        <w:gridCol w:w="779"/>
        <w:gridCol w:w="1036"/>
        <w:gridCol w:w="1316"/>
        <w:gridCol w:w="1424"/>
        <w:gridCol w:w="1346"/>
        <w:gridCol w:w="1490"/>
        <w:gridCol w:w="1033"/>
      </w:tblGrid>
      <w:tr w14:paraId="438CF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000" w:type="pct"/>
            <w:gridSpan w:val="1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4DF4">
            <w:pPr>
              <w:keepNext w:val="0"/>
              <w:keepLines w:val="0"/>
              <w:widowControl/>
              <w:suppressLineNumbers w:val="0"/>
              <w:jc w:val="center"/>
              <w:textAlignment w:val="center"/>
              <w:rPr>
                <w:rStyle w:val="23"/>
                <w:rFonts w:hint="default"/>
                <w:b w:val="0"/>
                <w:bCs w:val="0"/>
                <w:lang w:val="en-US" w:eastAsia="zh-CN" w:bidi="ar"/>
              </w:rPr>
            </w:pPr>
            <w:r>
              <w:rPr>
                <w:rStyle w:val="23"/>
                <w:rFonts w:hint="eastAsia"/>
                <w:b w:val="0"/>
                <w:bCs w:val="0"/>
                <w:sz w:val="28"/>
                <w:szCs w:val="28"/>
                <w:lang w:val="en-US" w:eastAsia="zh-CN" w:bidi="ar"/>
              </w:rPr>
              <w:t>泉州演艺剧场项目支座报价清单</w:t>
            </w:r>
          </w:p>
        </w:tc>
      </w:tr>
      <w:tr w14:paraId="06B4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C9E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编号</w:t>
            </w:r>
          </w:p>
        </w:tc>
        <w:tc>
          <w:tcPr>
            <w:tcW w:w="60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4DF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类型</w:t>
            </w:r>
          </w:p>
        </w:tc>
        <w:tc>
          <w:tcPr>
            <w:tcW w:w="80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AA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支座承载力设计值(kN)</w:t>
            </w:r>
          </w:p>
        </w:tc>
        <w:tc>
          <w:tcPr>
            <w:tcW w:w="6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055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支座允许变形量</w:t>
            </w:r>
            <w:r>
              <w:rPr>
                <w:rFonts w:hint="eastAsia" w:ascii="微软雅黑" w:hAnsi="微软雅黑" w:eastAsia="微软雅黑" w:cs="微软雅黑"/>
                <w:i w:val="0"/>
                <w:iCs w:val="0"/>
                <w:color w:val="000000"/>
                <w:kern w:val="0"/>
                <w:sz w:val="22"/>
                <w:szCs w:val="22"/>
                <w:u w:val="none"/>
                <w:lang w:val="en-US" w:eastAsia="zh-CN" w:bidi="ar"/>
              </w:rPr>
              <w:br w:type="textWrapping"/>
            </w:r>
            <w:r>
              <w:rPr>
                <w:rFonts w:hint="eastAsia" w:ascii="微软雅黑" w:hAnsi="微软雅黑" w:eastAsia="微软雅黑" w:cs="微软雅黑"/>
                <w:i w:val="0"/>
                <w:iCs w:val="0"/>
                <w:color w:val="000000"/>
                <w:kern w:val="0"/>
                <w:sz w:val="22"/>
                <w:szCs w:val="22"/>
                <w:u w:val="none"/>
                <w:lang w:val="en-US" w:eastAsia="zh-CN" w:bidi="ar"/>
              </w:rPr>
              <w:t>(Δ：mm，α:rad)</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1B6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支座限制尺寸(mm)</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FD7F6">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Fonts w:ascii="微软雅黑" w:hAnsi="微软雅黑" w:eastAsia="微软雅黑" w:cs="微软雅黑"/>
                <w:b w:val="0"/>
                <w:bCs w:val="0"/>
                <w:i w:val="0"/>
                <w:iCs w:val="0"/>
                <w:color w:val="000000"/>
                <w:sz w:val="22"/>
                <w:szCs w:val="22"/>
                <w:u w:val="none"/>
              </w:rPr>
            </w:pPr>
            <w:r>
              <w:rPr>
                <w:rStyle w:val="23"/>
                <w:b w:val="0"/>
                <w:bCs w:val="0"/>
                <w:lang w:val="en-US" w:eastAsia="zh-CN" w:bidi="ar"/>
              </w:rPr>
              <w:t>数量</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965A8">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rPr>
                <w:rStyle w:val="23"/>
                <w:rFonts w:hint="default"/>
                <w:b w:val="0"/>
                <w:bCs w:val="0"/>
                <w:lang w:val="en-US" w:eastAsia="zh-CN" w:bidi="ar"/>
              </w:rPr>
            </w:pPr>
            <w:r>
              <w:rPr>
                <w:rStyle w:val="23"/>
                <w:rFonts w:hint="eastAsia"/>
                <w:b w:val="0"/>
                <w:bCs w:val="0"/>
                <w:lang w:val="en-US" w:eastAsia="zh-CN" w:bidi="ar"/>
              </w:rPr>
              <w:t>单支座重量</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108C6">
            <w:pPr>
              <w:keepNext w:val="0"/>
              <w:keepLines w:val="0"/>
              <w:widowControl/>
              <w:suppressLineNumbers w:val="0"/>
              <w:jc w:val="center"/>
              <w:textAlignment w:val="center"/>
              <w:rPr>
                <w:rStyle w:val="23"/>
                <w:rFonts w:hint="default"/>
                <w:b w:val="0"/>
                <w:bCs w:val="0"/>
                <w:lang w:val="en-US" w:eastAsia="zh-CN" w:bidi="ar"/>
              </w:rPr>
            </w:pPr>
            <w:r>
              <w:rPr>
                <w:rStyle w:val="23"/>
                <w:rFonts w:hint="eastAsia"/>
                <w:b w:val="0"/>
                <w:bCs w:val="0"/>
                <w:lang w:val="en-US" w:eastAsia="zh-CN" w:bidi="ar"/>
              </w:rPr>
              <w:t>总重</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36A36">
            <w:pPr>
              <w:keepNext w:val="0"/>
              <w:keepLines w:val="0"/>
              <w:widowControl/>
              <w:suppressLineNumbers w:val="0"/>
              <w:jc w:val="center"/>
              <w:textAlignment w:val="center"/>
              <w:rPr>
                <w:rStyle w:val="23"/>
                <w:rFonts w:hint="default"/>
                <w:lang w:val="en-US" w:eastAsia="zh-CN" w:bidi="ar"/>
              </w:rPr>
            </w:pPr>
            <w:r>
              <w:rPr>
                <w:rStyle w:val="23"/>
                <w:rFonts w:hint="eastAsia"/>
                <w:b w:val="0"/>
                <w:bCs w:val="0"/>
                <w:lang w:val="en-US" w:eastAsia="zh-CN" w:bidi="ar"/>
              </w:rPr>
              <w:t>重量单价</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4FAE4">
            <w:pPr>
              <w:keepNext w:val="0"/>
              <w:keepLines w:val="0"/>
              <w:widowControl/>
              <w:suppressLineNumbers w:val="0"/>
              <w:jc w:val="center"/>
              <w:textAlignment w:val="center"/>
              <w:rPr>
                <w:rStyle w:val="23"/>
                <w:rFonts w:hint="default"/>
                <w:b w:val="0"/>
                <w:bCs w:val="0"/>
                <w:lang w:val="en-US" w:eastAsia="zh-CN" w:bidi="ar"/>
              </w:rPr>
            </w:pPr>
            <w:r>
              <w:rPr>
                <w:rStyle w:val="23"/>
                <w:rFonts w:hint="eastAsia"/>
                <w:b w:val="0"/>
                <w:bCs w:val="0"/>
                <w:lang w:val="en-US" w:eastAsia="zh-CN" w:bidi="ar"/>
              </w:rPr>
              <w:t>总价</w:t>
            </w: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ED822">
            <w:pPr>
              <w:keepNext w:val="0"/>
              <w:keepLines w:val="0"/>
              <w:widowControl/>
              <w:suppressLineNumbers w:val="0"/>
              <w:jc w:val="center"/>
              <w:textAlignment w:val="center"/>
              <w:rPr>
                <w:rStyle w:val="23"/>
                <w:rFonts w:hint="default"/>
                <w:b w:val="0"/>
                <w:bCs w:val="0"/>
                <w:lang w:val="en-US" w:eastAsia="zh-CN" w:bidi="ar"/>
              </w:rPr>
            </w:pPr>
            <w:r>
              <w:rPr>
                <w:rStyle w:val="23"/>
                <w:rFonts w:hint="eastAsia"/>
                <w:b w:val="0"/>
                <w:bCs w:val="0"/>
                <w:lang w:val="en-US" w:eastAsia="zh-CN" w:bidi="ar"/>
              </w:rPr>
              <w:t>备注</w:t>
            </w:r>
          </w:p>
        </w:tc>
      </w:tr>
      <w:tr w14:paraId="7CC29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F1BF7">
            <w:pPr>
              <w:keepNext w:val="0"/>
              <w:keepLines w:val="0"/>
              <w:pageBreakBefore w:val="0"/>
              <w:widowControl/>
              <w:kinsoku/>
              <w:wordWrap/>
              <w:overflowPunct/>
              <w:topLinePunct w:val="0"/>
              <w:autoSpaceDE/>
              <w:autoSpaceDN/>
              <w:bidi w:val="0"/>
              <w:adjustRightInd w:val="0"/>
              <w:snapToGrid w:val="0"/>
              <w:jc w:val="center"/>
              <w:rPr>
                <w:rFonts w:hint="eastAsia" w:ascii="微软雅黑" w:hAnsi="微软雅黑" w:eastAsia="微软雅黑" w:cs="微软雅黑"/>
                <w:i w:val="0"/>
                <w:iCs w:val="0"/>
                <w:color w:val="000000"/>
                <w:sz w:val="22"/>
                <w:szCs w:val="22"/>
                <w:u w:val="none"/>
              </w:rPr>
            </w:pPr>
          </w:p>
        </w:tc>
        <w:tc>
          <w:tcPr>
            <w:tcW w:w="60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56A1">
            <w:pPr>
              <w:keepNext w:val="0"/>
              <w:keepLines w:val="0"/>
              <w:pageBreakBefore w:val="0"/>
              <w:widowControl/>
              <w:kinsoku/>
              <w:wordWrap/>
              <w:overflowPunct/>
              <w:topLinePunct w:val="0"/>
              <w:autoSpaceDE/>
              <w:autoSpaceDN/>
              <w:bidi w:val="0"/>
              <w:adjustRightInd w:val="0"/>
              <w:snapToGrid w:val="0"/>
              <w:jc w:val="center"/>
              <w:rPr>
                <w:rFonts w:hint="eastAsia" w:ascii="微软雅黑" w:hAnsi="微软雅黑" w:eastAsia="微软雅黑" w:cs="微软雅黑"/>
                <w:i w:val="0"/>
                <w:iCs w:val="0"/>
                <w:color w:val="000000"/>
                <w:sz w:val="22"/>
                <w:szCs w:val="22"/>
                <w:u w:val="none"/>
              </w:rPr>
            </w:pP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5DA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压力</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6C3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拉力</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017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剪力Vx</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B0A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剪力Vy</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377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水平变形/mm</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8F0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转角/rad</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0D0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平面尺寸</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58D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H</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5BFC">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微软雅黑" w:hAnsi="微软雅黑" w:eastAsia="微软雅黑" w:cs="微软雅黑"/>
                <w:b w:val="0"/>
                <w:bCs w:val="0"/>
                <w:i w:val="0"/>
                <w:iCs w:val="0"/>
                <w:color w:val="000000"/>
                <w:sz w:val="22"/>
                <w:szCs w:val="22"/>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549AE">
            <w:pPr>
              <w:keepNext w:val="0"/>
              <w:keepLines w:val="0"/>
              <w:pageBreakBefore w:val="0"/>
              <w:widowControl/>
              <w:kinsoku/>
              <w:wordWrap/>
              <w:overflowPunct/>
              <w:topLinePunct w:val="0"/>
              <w:autoSpaceDE/>
              <w:autoSpaceDN/>
              <w:bidi w:val="0"/>
              <w:adjustRightInd w:val="0"/>
              <w:snapToGrid w:val="0"/>
              <w:spacing w:line="240" w:lineRule="auto"/>
              <w:jc w:val="center"/>
              <w:rPr>
                <w:rFonts w:hint="eastAsia" w:ascii="微软雅黑" w:hAnsi="微软雅黑" w:eastAsia="微软雅黑" w:cs="微软雅黑"/>
                <w:b w:val="0"/>
                <w:bCs w:val="0"/>
                <w:i w:val="0"/>
                <w:iCs w:val="0"/>
                <w:color w:val="000000"/>
                <w:sz w:val="22"/>
                <w:szCs w:val="22"/>
                <w:u w:val="none"/>
                <w:lang w:val="en-US" w:eastAsia="zh-CN"/>
              </w:rPr>
            </w:pPr>
            <w:r>
              <w:rPr>
                <w:rFonts w:hint="eastAsia" w:ascii="微软雅黑" w:hAnsi="微软雅黑" w:eastAsia="微软雅黑" w:cs="微软雅黑"/>
                <w:b w:val="0"/>
                <w:bCs w:val="0"/>
                <w:i w:val="0"/>
                <w:iCs w:val="0"/>
                <w:color w:val="000000"/>
                <w:sz w:val="22"/>
                <w:szCs w:val="22"/>
                <w:u w:val="none"/>
                <w:lang w:val="en-US" w:eastAsia="zh-CN"/>
              </w:rPr>
              <w:t>Kg</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F8A8">
            <w:pPr>
              <w:jc w:val="center"/>
              <w:rPr>
                <w:rFonts w:hint="default" w:ascii="微软雅黑" w:hAnsi="微软雅黑" w:eastAsia="微软雅黑" w:cs="微软雅黑"/>
                <w:b w:val="0"/>
                <w:bCs w:val="0"/>
                <w:i w:val="0"/>
                <w:iCs w:val="0"/>
                <w:color w:val="000000"/>
                <w:sz w:val="22"/>
                <w:szCs w:val="22"/>
                <w:u w:val="none"/>
                <w:lang w:val="en-US" w:eastAsia="zh-CN"/>
              </w:rPr>
            </w:pPr>
            <w:r>
              <w:rPr>
                <w:rFonts w:hint="eastAsia" w:ascii="微软雅黑" w:hAnsi="微软雅黑" w:eastAsia="微软雅黑" w:cs="微软雅黑"/>
                <w:b w:val="0"/>
                <w:bCs w:val="0"/>
                <w:i w:val="0"/>
                <w:iCs w:val="0"/>
                <w:color w:val="000000"/>
                <w:sz w:val="22"/>
                <w:szCs w:val="22"/>
                <w:u w:val="none"/>
                <w:lang w:val="en-US" w:eastAsia="zh-CN"/>
              </w:rPr>
              <w:t>Kg</w:t>
            </w: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1A4E3">
            <w:pPr>
              <w:jc w:val="center"/>
              <w:rPr>
                <w:rFonts w:hint="default" w:ascii="微软雅黑" w:hAnsi="微软雅黑" w:eastAsia="微软雅黑" w:cs="微软雅黑"/>
                <w:b/>
                <w:bCs/>
                <w:i w:val="0"/>
                <w:iCs w:val="0"/>
                <w:color w:val="000000"/>
                <w:sz w:val="22"/>
                <w:szCs w:val="22"/>
                <w:u w:val="none"/>
                <w:lang w:val="en-US" w:eastAsia="zh-CN"/>
              </w:rPr>
            </w:pPr>
            <w:r>
              <w:rPr>
                <w:rFonts w:hint="eastAsia" w:ascii="微软雅黑" w:hAnsi="微软雅黑" w:eastAsia="微软雅黑" w:cs="微软雅黑"/>
                <w:b w:val="0"/>
                <w:bCs w:val="0"/>
                <w:i w:val="0"/>
                <w:iCs w:val="0"/>
                <w:color w:val="000000"/>
                <w:sz w:val="22"/>
                <w:szCs w:val="22"/>
                <w:u w:val="none"/>
                <w:lang w:val="en-US" w:eastAsia="zh-CN"/>
              </w:rPr>
              <w:t>元/kg</w:t>
            </w: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0DEB0">
            <w:pPr>
              <w:jc w:val="center"/>
              <w:rPr>
                <w:rFonts w:hint="default" w:ascii="微软雅黑" w:hAnsi="微软雅黑" w:eastAsia="微软雅黑" w:cs="微软雅黑"/>
                <w:b w:val="0"/>
                <w:bCs w:val="0"/>
                <w:i w:val="0"/>
                <w:iCs w:val="0"/>
                <w:color w:val="000000"/>
                <w:sz w:val="22"/>
                <w:szCs w:val="22"/>
                <w:u w:val="none"/>
                <w:lang w:val="en-US" w:eastAsia="zh-CN"/>
              </w:rPr>
            </w:pPr>
            <w:r>
              <w:rPr>
                <w:rFonts w:hint="eastAsia" w:ascii="微软雅黑" w:hAnsi="微软雅黑" w:eastAsia="微软雅黑" w:cs="微软雅黑"/>
                <w:b w:val="0"/>
                <w:bCs w:val="0"/>
                <w:i w:val="0"/>
                <w:iCs w:val="0"/>
                <w:color w:val="000000"/>
                <w:sz w:val="22"/>
                <w:szCs w:val="22"/>
                <w:u w:val="none"/>
                <w:lang w:val="en-US" w:eastAsia="zh-CN"/>
              </w:rPr>
              <w:t>元</w:t>
            </w: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AFEF3">
            <w:pPr>
              <w:jc w:val="center"/>
              <w:rPr>
                <w:rFonts w:hint="eastAsia" w:ascii="微软雅黑" w:hAnsi="微软雅黑" w:eastAsia="微软雅黑" w:cs="微软雅黑"/>
                <w:b w:val="0"/>
                <w:bCs w:val="0"/>
                <w:i w:val="0"/>
                <w:iCs w:val="0"/>
                <w:color w:val="000000"/>
                <w:sz w:val="22"/>
                <w:szCs w:val="22"/>
                <w:u w:val="none"/>
                <w:lang w:val="en-US" w:eastAsia="zh-CN"/>
              </w:rPr>
            </w:pPr>
          </w:p>
        </w:tc>
      </w:tr>
      <w:tr w14:paraId="5B5C7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BD3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GQZ1-1</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F6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B5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B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FF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0B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1F5D8">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798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A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支座下板边长≥300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36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E2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C4E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7D88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E1C6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37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50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ABA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56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GQZ1-2</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35B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29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2D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FF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27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AB833">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DB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4C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支座下板边长≥400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1D0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1D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9A5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E514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DFC4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00C9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78D8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082D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9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GQZ1-3</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69D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06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0C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51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8ED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982BC">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5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B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7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C5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543B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132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2DC9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C1ED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3B7D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79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7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GQZ2-2</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12F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318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C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79B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F3D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B179">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0C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5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支座下板边长≥400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8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A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5EF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CC8B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2905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B07B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6BD4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6770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D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GQZ2-3</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9A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5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2A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9C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66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2A09">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0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E63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AF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3B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69A2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89E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A37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475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EBB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985F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9D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GQZ3-1</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9C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98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CB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36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03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8A7F8">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BA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FB5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支座下板边长≥400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BE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D1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A05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FFF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A8BB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F77A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B68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8A6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55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GQZ3-2</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A2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A2B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15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1F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68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6D2F7">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C9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B9E7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柱上支座下板边长≥800</w:t>
            </w:r>
          </w:p>
          <w:p w14:paraId="1E9B7C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柱下支座上板边长≥800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51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99A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555A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CEC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A95D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4DFD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00B5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72A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8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GQZ4-1</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8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FA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E0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3A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0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B8E91">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FE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01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支座下板边长≥400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18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AC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F9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D36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bookmarkStart w:id="0" w:name="_GoBack"/>
            <w:bookmarkEnd w:id="0"/>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13DC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2CD7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3759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676B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AE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GQZ4-2</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34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1A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C7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1B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44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E456D">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D8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299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支座下板边长≥300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EA4C3">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6B3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974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0F8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F5B9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792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1419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36F13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1D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GQZ5</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AA8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双向滑动钢支座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71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2D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44EB">
            <w:pPr>
              <w:jc w:val="center"/>
              <w:rPr>
                <w:rFonts w:hint="eastAsia" w:ascii="宋体" w:hAnsi="宋体" w:eastAsia="宋体" w:cs="宋体"/>
                <w:i w:val="0"/>
                <w:iCs w:val="0"/>
                <w:color w:val="000000"/>
                <w:sz w:val="22"/>
                <w:szCs w:val="22"/>
                <w:u w:val="none"/>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C6AA">
            <w:pPr>
              <w:jc w:val="center"/>
              <w:rPr>
                <w:rFonts w:hint="eastAsia" w:ascii="宋体" w:hAnsi="宋体" w:eastAsia="宋体" w:cs="宋体"/>
                <w:i w:val="0"/>
                <w:iCs w:val="0"/>
                <w:color w:val="000000"/>
                <w:sz w:val="22"/>
                <w:szCs w:val="22"/>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10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X.Y均±100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D3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53B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EAD65">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4CF7">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4FA5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899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6687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C80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1A2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A095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23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GQZ6</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B0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双向滑动钢支座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6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1E0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636D5">
            <w:pPr>
              <w:jc w:val="center"/>
              <w:rPr>
                <w:rFonts w:hint="eastAsia" w:ascii="宋体" w:hAnsi="宋体" w:eastAsia="宋体" w:cs="宋体"/>
                <w:i w:val="0"/>
                <w:iCs w:val="0"/>
                <w:color w:val="000000"/>
                <w:sz w:val="22"/>
                <w:szCs w:val="22"/>
                <w:u w:val="none"/>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A359">
            <w:pPr>
              <w:jc w:val="center"/>
              <w:rPr>
                <w:rFonts w:hint="eastAsia" w:ascii="宋体" w:hAnsi="宋体" w:eastAsia="宋体" w:cs="宋体"/>
                <w:i w:val="0"/>
                <w:iCs w:val="0"/>
                <w:color w:val="000000"/>
                <w:sz w:val="22"/>
                <w:szCs w:val="22"/>
                <w:u w:val="none"/>
              </w:rPr>
            </w:pP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A1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X.Y均±100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D4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A51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CC33">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86042">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CFC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860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057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3AB5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E045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7C64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84D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GQZ7</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E8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单向滑动钢支座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44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9A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D819A">
            <w:pPr>
              <w:jc w:val="center"/>
              <w:rPr>
                <w:rFonts w:hint="eastAsia" w:ascii="宋体" w:hAnsi="宋体" w:eastAsia="宋体" w:cs="宋体"/>
                <w:i w:val="0"/>
                <w:iCs w:val="0"/>
                <w:color w:val="000000"/>
                <w:sz w:val="22"/>
                <w:szCs w:val="22"/>
                <w:u w:val="none"/>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71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8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X±50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03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18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CA5B5">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24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1F23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925C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49B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36D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E5C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5997B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F8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QZ1</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B8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球形弹性支座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9E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8D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63A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66E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8E5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X.Y均±100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D3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0.015</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06A86">
            <w:pPr>
              <w:rPr>
                <w:rFonts w:hint="eastAsia" w:ascii="宋体" w:hAnsi="宋体" w:eastAsia="宋体" w:cs="宋体"/>
                <w:i w:val="0"/>
                <w:iCs w:val="0"/>
                <w:color w:val="000000"/>
                <w:sz w:val="22"/>
                <w:szCs w:val="22"/>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D39B9">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BD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229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16D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BB56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5F8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68D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AF35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0F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QZ2</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1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球形弹性支座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2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7F5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60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92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7D1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X.Y均±100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84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0.015</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6888">
            <w:pPr>
              <w:rPr>
                <w:rFonts w:hint="eastAsia" w:ascii="宋体" w:hAnsi="宋体" w:eastAsia="宋体" w:cs="宋体"/>
                <w:i w:val="0"/>
                <w:iCs w:val="0"/>
                <w:color w:val="000000"/>
                <w:sz w:val="22"/>
                <w:szCs w:val="22"/>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71CFF">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33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39A0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3A20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A83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7E95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B2E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AD4E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54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ZZ1</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3A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4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B7E50">
            <w:pPr>
              <w:jc w:val="center"/>
              <w:rPr>
                <w:rFonts w:hint="eastAsia" w:ascii="宋体" w:hAnsi="宋体" w:eastAsia="宋体" w:cs="宋体"/>
                <w:i w:val="0"/>
                <w:iCs w:val="0"/>
                <w:color w:val="000000"/>
                <w:sz w:val="22"/>
                <w:szCs w:val="22"/>
                <w:u w:val="none"/>
              </w:rPr>
            </w:pP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94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CCD2">
            <w:pP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87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91470">
            <w:pPr>
              <w:jc w:val="center"/>
              <w:rPr>
                <w:rFonts w:hint="eastAsia" w:ascii="宋体" w:hAnsi="宋体" w:eastAsia="宋体" w:cs="宋体"/>
                <w:i w:val="0"/>
                <w:iCs w:val="0"/>
                <w:color w:val="000000"/>
                <w:sz w:val="22"/>
                <w:szCs w:val="22"/>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B3B2">
            <w:pPr>
              <w:jc w:val="center"/>
              <w:rPr>
                <w:rFonts w:hint="eastAsia" w:ascii="宋体" w:hAnsi="宋体" w:eastAsia="宋体" w:cs="宋体"/>
                <w:i w:val="0"/>
                <w:iCs w:val="0"/>
                <w:color w:val="000000"/>
                <w:sz w:val="22"/>
                <w:szCs w:val="22"/>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033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6CBB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6F3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5317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9B2F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2CE1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1EA7F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7B4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GQZ1(钢桥）</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41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三向固定铰支座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3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7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4B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96B46">
            <w:pPr>
              <w:jc w:val="center"/>
              <w:rPr>
                <w:rFonts w:hint="eastAsia" w:ascii="宋体" w:hAnsi="宋体" w:eastAsia="宋体" w:cs="宋体"/>
                <w:i w:val="0"/>
                <w:iCs w:val="0"/>
                <w:color w:val="000000"/>
                <w:sz w:val="22"/>
                <w:szCs w:val="22"/>
                <w:u w:val="none"/>
              </w:rPr>
            </w:pP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A6F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9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04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83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730F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E997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38D8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E96C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4A64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068D5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17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GQZ2（钢桥）</w:t>
            </w:r>
          </w:p>
        </w:tc>
        <w:tc>
          <w:tcPr>
            <w:tcW w:w="6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D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双向滑动钢支座</w:t>
            </w:r>
          </w:p>
        </w:tc>
        <w:tc>
          <w:tcPr>
            <w:tcW w:w="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5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1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5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46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A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3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37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X.Y均±50</w:t>
            </w:r>
          </w:p>
        </w:tc>
        <w:tc>
          <w:tcPr>
            <w:tcW w:w="2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590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7B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支座下板边长≥500</w:t>
            </w:r>
          </w:p>
        </w:tc>
        <w:tc>
          <w:tcPr>
            <w:tcW w:w="1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4F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2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D9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957D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7C1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8F8B">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14ED5">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950C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7B15F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371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9B4E8">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合计</w:t>
            </w:r>
          </w:p>
        </w:tc>
        <w:tc>
          <w:tcPr>
            <w:tcW w:w="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02E6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452C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2833">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5547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14:paraId="2D355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5000" w:type="pct"/>
            <w:gridSpan w:val="16"/>
            <w:tcBorders>
              <w:top w:val="single" w:color="000000" w:sz="4" w:space="0"/>
              <w:left w:val="single" w:color="000000" w:sz="4" w:space="0"/>
              <w:bottom w:val="single" w:color="000000" w:sz="4" w:space="0"/>
              <w:right w:val="single" w:color="000000" w:sz="4" w:space="0"/>
            </w:tcBorders>
            <w:shd w:val="clear" w:color="auto" w:fill="auto"/>
            <w:vAlign w:val="center"/>
          </w:tcPr>
          <w:p w14:paraId="4D863267">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注：支座的技术参数应满足《泉州演艺技术支座技术说明及相关要求》，未作说明的部分，应满足规范《建筑钢结构球型支座》(GB/T32836-2016)的相关要求。</w:t>
            </w:r>
          </w:p>
        </w:tc>
      </w:tr>
    </w:tbl>
    <w:p w14:paraId="5158E91B">
      <w:pPr>
        <w:numPr>
          <w:ilvl w:val="0"/>
          <w:numId w:val="0"/>
        </w:numPr>
        <w:spacing w:line="360" w:lineRule="auto"/>
        <w:rPr>
          <w:rFonts w:hint="default" w:ascii="宋体" w:hAnsi="宋体" w:eastAsia="宋体" w:cs="宋体"/>
          <w:color w:val="auto"/>
          <w:sz w:val="24"/>
          <w:szCs w:val="24"/>
          <w:lang w:val="en-US" w:eastAsia="zh-CN"/>
        </w:rPr>
      </w:pPr>
    </w:p>
    <w:sectPr>
      <w:pgSz w:w="23811" w:h="16838" w:orient="landscape"/>
      <w:pgMar w:top="1417"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2E7A9"/>
    <w:multiLevelType w:val="singleLevel"/>
    <w:tmpl w:val="A2A2E7A9"/>
    <w:lvl w:ilvl="0" w:tentative="0">
      <w:start w:val="1"/>
      <w:numFmt w:val="decimal"/>
      <w:suff w:val="nothing"/>
      <w:lvlText w:val="%1、"/>
      <w:lvlJc w:val="left"/>
    </w:lvl>
  </w:abstractNum>
  <w:abstractNum w:abstractNumId="1">
    <w:nsid w:val="A85311B0"/>
    <w:multiLevelType w:val="multilevel"/>
    <w:tmpl w:val="A85311B0"/>
    <w:lvl w:ilvl="0" w:tentative="0">
      <w:start w:val="1"/>
      <w:numFmt w:val="decimal"/>
      <w:suff w:val="space"/>
      <w:lvlText w:val="%1."/>
      <w:lvlJc w:val="left"/>
      <w:pPr>
        <w:tabs>
          <w:tab w:val="left" w:pos="420"/>
        </w:tabs>
        <w:ind w:left="0" w:leftChars="0" w:firstLine="0" w:firstLineChars="0"/>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2">
    <w:nsid w:val="E93228AE"/>
    <w:multiLevelType w:val="singleLevel"/>
    <w:tmpl w:val="E93228AE"/>
    <w:lvl w:ilvl="0" w:tentative="0">
      <w:start w:val="1"/>
      <w:numFmt w:val="decimal"/>
      <w:suff w:val="nothing"/>
      <w:lvlText w:val="%1、"/>
      <w:lvlJc w:val="left"/>
    </w:lvl>
  </w:abstractNum>
  <w:abstractNum w:abstractNumId="3">
    <w:nsid w:val="06E2F760"/>
    <w:multiLevelType w:val="singleLevel"/>
    <w:tmpl w:val="06E2F760"/>
    <w:lvl w:ilvl="0" w:tentative="0">
      <w:start w:val="1"/>
      <w:numFmt w:val="decimal"/>
      <w:lvlText w:val="%1."/>
      <w:lvlJc w:val="left"/>
      <w:pPr>
        <w:ind w:left="425" w:hanging="425"/>
      </w:pPr>
      <w:rPr>
        <w:rFonts w:hint="default"/>
      </w:rPr>
    </w:lvl>
  </w:abstractNum>
  <w:abstractNum w:abstractNumId="4">
    <w:nsid w:val="0DC8E834"/>
    <w:multiLevelType w:val="multilevel"/>
    <w:tmpl w:val="0DC8E834"/>
    <w:lvl w:ilvl="0" w:tentative="0">
      <w:start w:val="1"/>
      <w:numFmt w:val="chineseCounting"/>
      <w:pStyle w:val="2"/>
      <w:suff w:val="nothing"/>
      <w:lvlText w:val="第%1章　"/>
      <w:lvlJc w:val="left"/>
      <w:pPr>
        <w:tabs>
          <w:tab w:val="left" w:pos="0"/>
        </w:tabs>
        <w:ind w:left="0" w:firstLine="402"/>
      </w:pPr>
      <w:rPr>
        <w:rFonts w:hint="eastAsia"/>
      </w:rPr>
    </w:lvl>
    <w:lvl w:ilvl="1" w:tentative="0">
      <w:start w:val="1"/>
      <w:numFmt w:val="chineseCounting"/>
      <w:pStyle w:val="3"/>
      <w:suff w:val="space"/>
      <w:lvlText w:val="第%2节"/>
      <w:lvlJc w:val="left"/>
      <w:pPr>
        <w:tabs>
          <w:tab w:val="left" w:pos="0"/>
        </w:tabs>
        <w:ind w:left="0" w:firstLine="402"/>
      </w:pPr>
      <w:rPr>
        <w:rFonts w:hint="eastAsia"/>
      </w:rPr>
    </w:lvl>
    <w:lvl w:ilvl="2" w:tentative="0">
      <w:start w:val="1"/>
      <w:numFmt w:val="decimal"/>
      <w:pStyle w:val="4"/>
      <w:suff w:val="space"/>
      <w:lvlText w:val="%3"/>
      <w:lvlJc w:val="left"/>
      <w:pPr>
        <w:tabs>
          <w:tab w:val="left" w:pos="420"/>
        </w:tabs>
        <w:ind w:left="0" w:firstLine="402"/>
      </w:pPr>
      <w:rPr>
        <w:rFonts w:hint="eastAsia"/>
      </w:rPr>
    </w:lvl>
    <w:lvl w:ilvl="3" w:tentative="0">
      <w:start w:val="1"/>
      <w:numFmt w:val="decimal"/>
      <w:pStyle w:val="5"/>
      <w:suff w:val="space"/>
      <w:lvlText w:val="%3.%4"/>
      <w:lvlJc w:val="left"/>
      <w:pPr>
        <w:tabs>
          <w:tab w:val="left" w:pos="420"/>
        </w:tabs>
        <w:ind w:left="0" w:firstLine="402"/>
      </w:pPr>
      <w:rPr>
        <w:rFonts w:hint="eastAsia"/>
      </w:rPr>
    </w:lvl>
    <w:lvl w:ilvl="4" w:tentative="0">
      <w:start w:val="1"/>
      <w:numFmt w:val="decimal"/>
      <w:pStyle w:val="6"/>
      <w:suff w:val="space"/>
      <w:lvlText w:val="%3.%4.%5 "/>
      <w:lvlJc w:val="left"/>
      <w:pPr>
        <w:tabs>
          <w:tab w:val="left" w:pos="420"/>
        </w:tabs>
        <w:ind w:left="0" w:firstLine="402"/>
      </w:pPr>
      <w:rPr>
        <w:rFonts w:hint="eastAsia"/>
      </w:rPr>
    </w:lvl>
    <w:lvl w:ilvl="5" w:tentative="0">
      <w:start w:val="1"/>
      <w:numFmt w:val="decimal"/>
      <w:pStyle w:val="7"/>
      <w:suff w:val="nothing"/>
      <w:lvlText w:val="%3.%4.%5.%6"/>
      <w:lvlJc w:val="left"/>
      <w:pPr>
        <w:tabs>
          <w:tab w:val="left" w:pos="0"/>
        </w:tabs>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5">
    <w:nsid w:val="0EA0AFEF"/>
    <w:multiLevelType w:val="singleLevel"/>
    <w:tmpl w:val="0EA0AFEF"/>
    <w:lvl w:ilvl="0" w:tentative="0">
      <w:start w:val="1"/>
      <w:numFmt w:val="decimal"/>
      <w:suff w:val="nothing"/>
      <w:lvlText w:val="%1、"/>
      <w:lvlJc w:val="left"/>
    </w:lvl>
  </w:abstractNum>
  <w:abstractNum w:abstractNumId="6">
    <w:nsid w:val="2089B7C8"/>
    <w:multiLevelType w:val="singleLevel"/>
    <w:tmpl w:val="2089B7C8"/>
    <w:lvl w:ilvl="0" w:tentative="0">
      <w:start w:val="1"/>
      <w:numFmt w:val="chineseCounting"/>
      <w:suff w:val="nothing"/>
      <w:lvlText w:val="%1、"/>
      <w:lvlJc w:val="left"/>
      <w:pPr>
        <w:ind w:left="0" w:firstLine="420"/>
      </w:pPr>
      <w:rPr>
        <w:rFonts w:hint="eastAsia"/>
      </w:rPr>
    </w:lvl>
  </w:abstractNum>
  <w:abstractNum w:abstractNumId="7">
    <w:nsid w:val="28AF28C3"/>
    <w:multiLevelType w:val="multilevel"/>
    <w:tmpl w:val="28AF28C3"/>
    <w:lvl w:ilvl="0" w:tentative="0">
      <w:start w:val="1"/>
      <w:numFmt w:val="decimal"/>
      <w:suff w:val="nothing"/>
      <w:lvlText w:val="%1、"/>
      <w:lvlJc w:val="left"/>
      <w:pPr>
        <w:ind w:left="480" w:leftChars="0" w:firstLine="0" w:firstLineChars="0"/>
      </w:pPr>
    </w:lvl>
    <w:lvl w:ilvl="1" w:tentative="0">
      <w:start w:val="1"/>
      <w:numFmt w:val="decimal"/>
      <w:lvlText w:val="(%2)"/>
      <w:lvlJc w:val="left"/>
      <w:pPr>
        <w:tabs>
          <w:tab w:val="left" w:pos="840"/>
        </w:tabs>
        <w:ind w:left="1320" w:leftChars="0" w:hanging="420" w:firstLineChars="0"/>
      </w:pPr>
      <w:rPr>
        <w:rFonts w:hint="default"/>
      </w:rPr>
    </w:lvl>
    <w:lvl w:ilvl="2" w:tentative="0">
      <w:start w:val="1"/>
      <w:numFmt w:val="decimalEnclosedCircleChinese"/>
      <w:lvlText w:val="%3"/>
      <w:lvlJc w:val="left"/>
      <w:pPr>
        <w:tabs>
          <w:tab w:val="left" w:pos="1260"/>
        </w:tabs>
        <w:ind w:left="1740" w:leftChars="0" w:hanging="420" w:firstLineChars="0"/>
      </w:pPr>
      <w:rPr>
        <w:rFonts w:hint="default"/>
      </w:rPr>
    </w:lvl>
    <w:lvl w:ilvl="3" w:tentative="0">
      <w:start w:val="1"/>
      <w:numFmt w:val="decimal"/>
      <w:lvlText w:val="%4)"/>
      <w:lvlJc w:val="left"/>
      <w:pPr>
        <w:tabs>
          <w:tab w:val="left" w:pos="1680"/>
        </w:tabs>
        <w:ind w:left="2160" w:leftChars="0" w:hanging="420" w:firstLineChars="0"/>
      </w:pPr>
      <w:rPr>
        <w:rFonts w:hint="default"/>
      </w:rPr>
    </w:lvl>
    <w:lvl w:ilvl="4" w:tentative="0">
      <w:start w:val="1"/>
      <w:numFmt w:val="lowerLetter"/>
      <w:lvlText w:val="%5."/>
      <w:lvlJc w:val="left"/>
      <w:pPr>
        <w:tabs>
          <w:tab w:val="left" w:pos="2100"/>
        </w:tabs>
        <w:ind w:left="2580" w:leftChars="0" w:hanging="420" w:firstLineChars="0"/>
      </w:pPr>
      <w:rPr>
        <w:rFonts w:hint="default"/>
      </w:rPr>
    </w:lvl>
    <w:lvl w:ilvl="5" w:tentative="0">
      <w:start w:val="1"/>
      <w:numFmt w:val="lowerLetter"/>
      <w:lvlText w:val="%6)"/>
      <w:lvlJc w:val="left"/>
      <w:pPr>
        <w:tabs>
          <w:tab w:val="left" w:pos="2520"/>
        </w:tabs>
        <w:ind w:left="3000" w:leftChars="0" w:hanging="420" w:firstLineChars="0"/>
      </w:pPr>
      <w:rPr>
        <w:rFonts w:hint="default"/>
      </w:rPr>
    </w:lvl>
    <w:lvl w:ilvl="6" w:tentative="0">
      <w:start w:val="1"/>
      <w:numFmt w:val="lowerRoman"/>
      <w:lvlText w:val="%7."/>
      <w:lvlJc w:val="left"/>
      <w:pPr>
        <w:tabs>
          <w:tab w:val="left" w:pos="2940"/>
        </w:tabs>
        <w:ind w:left="3420" w:leftChars="0" w:hanging="420" w:firstLineChars="0"/>
      </w:pPr>
      <w:rPr>
        <w:rFonts w:hint="default"/>
      </w:rPr>
    </w:lvl>
    <w:lvl w:ilvl="7" w:tentative="0">
      <w:start w:val="1"/>
      <w:numFmt w:val="lowerRoman"/>
      <w:lvlText w:val="%8)"/>
      <w:lvlJc w:val="left"/>
      <w:pPr>
        <w:tabs>
          <w:tab w:val="left" w:pos="3360"/>
        </w:tabs>
        <w:ind w:left="3840" w:leftChars="0" w:hanging="420" w:firstLineChars="0"/>
      </w:pPr>
      <w:rPr>
        <w:rFonts w:hint="default"/>
      </w:rPr>
    </w:lvl>
    <w:lvl w:ilvl="8" w:tentative="0">
      <w:start w:val="1"/>
      <w:numFmt w:val="lowerLetter"/>
      <w:lvlText w:val="%9."/>
      <w:lvlJc w:val="left"/>
      <w:pPr>
        <w:tabs>
          <w:tab w:val="left" w:pos="3780"/>
        </w:tabs>
        <w:ind w:left="4260" w:leftChars="0" w:hanging="420" w:firstLineChars="0"/>
      </w:pPr>
      <w:rPr>
        <w:rFonts w:hint="default"/>
      </w:rPr>
    </w:lvl>
  </w:abstractNum>
  <w:abstractNum w:abstractNumId="8">
    <w:nsid w:val="59CD02B4"/>
    <w:multiLevelType w:val="singleLevel"/>
    <w:tmpl w:val="59CD02B4"/>
    <w:lvl w:ilvl="0" w:tentative="0">
      <w:start w:val="1"/>
      <w:numFmt w:val="decimal"/>
      <w:suff w:val="nothing"/>
      <w:lvlText w:val="%1、"/>
      <w:lvlJc w:val="left"/>
    </w:lvl>
  </w:abstractNum>
  <w:abstractNum w:abstractNumId="9">
    <w:nsid w:val="6679BA78"/>
    <w:multiLevelType w:val="singleLevel"/>
    <w:tmpl w:val="6679BA78"/>
    <w:lvl w:ilvl="0" w:tentative="0">
      <w:start w:val="1"/>
      <w:numFmt w:val="decimal"/>
      <w:lvlText w:val="%1."/>
      <w:lvlJc w:val="left"/>
      <w:pPr>
        <w:ind w:left="425" w:hanging="425"/>
      </w:pPr>
      <w:rPr>
        <w:rFonts w:hint="default"/>
      </w:rPr>
    </w:lvl>
  </w:abstractNum>
  <w:num w:numId="1">
    <w:abstractNumId w:val="4"/>
  </w:num>
  <w:num w:numId="2">
    <w:abstractNumId w:val="1"/>
  </w:num>
  <w:num w:numId="3">
    <w:abstractNumId w:val="6"/>
  </w:num>
  <w:num w:numId="4">
    <w:abstractNumId w:val="9"/>
  </w:num>
  <w:num w:numId="5">
    <w:abstractNumId w:val="3"/>
  </w:num>
  <w:num w:numId="6">
    <w:abstractNumId w:val="5"/>
  </w:num>
  <w:num w:numId="7">
    <w:abstractNumId w:val="2"/>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94DAC"/>
    <w:rsid w:val="046A6511"/>
    <w:rsid w:val="04AC12A9"/>
    <w:rsid w:val="0509446B"/>
    <w:rsid w:val="05FB5A9A"/>
    <w:rsid w:val="063407BB"/>
    <w:rsid w:val="07410E2E"/>
    <w:rsid w:val="0777361A"/>
    <w:rsid w:val="0A69573B"/>
    <w:rsid w:val="0ABE4B90"/>
    <w:rsid w:val="0B4840F8"/>
    <w:rsid w:val="0F5B408E"/>
    <w:rsid w:val="10822369"/>
    <w:rsid w:val="16564333"/>
    <w:rsid w:val="18A773D6"/>
    <w:rsid w:val="19810487"/>
    <w:rsid w:val="1995403F"/>
    <w:rsid w:val="1A046F9B"/>
    <w:rsid w:val="1A4F3A41"/>
    <w:rsid w:val="229606CD"/>
    <w:rsid w:val="22B92AB5"/>
    <w:rsid w:val="23CD3AA8"/>
    <w:rsid w:val="24092201"/>
    <w:rsid w:val="25CD79B1"/>
    <w:rsid w:val="264D77A8"/>
    <w:rsid w:val="26BA68F7"/>
    <w:rsid w:val="2A6F6324"/>
    <w:rsid w:val="32EF1AD0"/>
    <w:rsid w:val="37321E9F"/>
    <w:rsid w:val="377C3ECB"/>
    <w:rsid w:val="3BEC6400"/>
    <w:rsid w:val="3DD0525C"/>
    <w:rsid w:val="401F586B"/>
    <w:rsid w:val="41933056"/>
    <w:rsid w:val="455517CB"/>
    <w:rsid w:val="476541F5"/>
    <w:rsid w:val="495D6F47"/>
    <w:rsid w:val="4B84756E"/>
    <w:rsid w:val="4D3F07E1"/>
    <w:rsid w:val="4E6370C4"/>
    <w:rsid w:val="4EEE36A2"/>
    <w:rsid w:val="50BC068B"/>
    <w:rsid w:val="51B93002"/>
    <w:rsid w:val="527B24DD"/>
    <w:rsid w:val="52EF5D1F"/>
    <w:rsid w:val="553F0435"/>
    <w:rsid w:val="571702AF"/>
    <w:rsid w:val="58B65694"/>
    <w:rsid w:val="59694DAC"/>
    <w:rsid w:val="5CDA40DB"/>
    <w:rsid w:val="5EB132FD"/>
    <w:rsid w:val="5FAC74DA"/>
    <w:rsid w:val="6416767E"/>
    <w:rsid w:val="686750BD"/>
    <w:rsid w:val="6A644A46"/>
    <w:rsid w:val="6AE5001F"/>
    <w:rsid w:val="716C2B37"/>
    <w:rsid w:val="79E61F64"/>
    <w:rsid w:val="7C646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qFormat/>
    <w:uiPriority w:val="0"/>
    <w:pPr>
      <w:pageBreakBefore/>
      <w:widowControl/>
      <w:numPr>
        <w:ilvl w:val="0"/>
        <w:numId w:val="1"/>
      </w:numPr>
      <w:adjustRightInd w:val="0"/>
      <w:snapToGrid w:val="0"/>
      <w:jc w:val="center"/>
      <w:outlineLvl w:val="0"/>
    </w:pPr>
    <w:rPr>
      <w:rFonts w:ascii="Calibri" w:hAnsi="Calibri" w:eastAsia="宋体"/>
      <w:b/>
      <w:kern w:val="44"/>
      <w:sz w:val="28"/>
    </w:rPr>
  </w:style>
  <w:style w:type="paragraph" w:styleId="3">
    <w:name w:val="heading 2"/>
    <w:basedOn w:val="1"/>
    <w:next w:val="1"/>
    <w:link w:val="18"/>
    <w:semiHidden/>
    <w:unhideWhenUsed/>
    <w:qFormat/>
    <w:uiPriority w:val="0"/>
    <w:pPr>
      <w:keepNext/>
      <w:keepLines/>
      <w:numPr>
        <w:ilvl w:val="1"/>
        <w:numId w:val="1"/>
      </w:numPr>
      <w:spacing w:before="100" w:beforeLines="100"/>
      <w:ind w:firstLineChars="0"/>
      <w:outlineLvl w:val="1"/>
    </w:pPr>
    <w:rPr>
      <w:rFonts w:ascii="Arial" w:hAnsi="Arial" w:eastAsia="宋体"/>
      <w:b/>
      <w:sz w:val="24"/>
    </w:rPr>
  </w:style>
  <w:style w:type="paragraph" w:styleId="4">
    <w:name w:val="heading 3"/>
    <w:basedOn w:val="1"/>
    <w:next w:val="1"/>
    <w:link w:val="19"/>
    <w:semiHidden/>
    <w:unhideWhenUsed/>
    <w:qFormat/>
    <w:uiPriority w:val="0"/>
    <w:pPr>
      <w:keepNext/>
      <w:keepLines/>
      <w:numPr>
        <w:ilvl w:val="2"/>
        <w:numId w:val="1"/>
      </w:numPr>
      <w:spacing w:line="360" w:lineRule="auto"/>
      <w:ind w:firstLine="402" w:firstLineChars="0"/>
      <w:outlineLvl w:val="2"/>
    </w:pPr>
    <w:rPr>
      <w:rFonts w:ascii="Calibri" w:hAnsi="Calibri" w:eastAsia="宋体"/>
      <w:b/>
      <w:sz w:val="24"/>
    </w:rPr>
  </w:style>
  <w:style w:type="paragraph" w:styleId="5">
    <w:name w:val="heading 4"/>
    <w:basedOn w:val="1"/>
    <w:next w:val="1"/>
    <w:link w:val="20"/>
    <w:semiHidden/>
    <w:unhideWhenUsed/>
    <w:qFormat/>
    <w:uiPriority w:val="0"/>
    <w:pPr>
      <w:keepNext/>
      <w:keepLines/>
      <w:numPr>
        <w:ilvl w:val="3"/>
        <w:numId w:val="1"/>
      </w:numPr>
      <w:autoSpaceDE w:val="0"/>
      <w:autoSpaceDN w:val="0"/>
      <w:adjustRightInd w:val="0"/>
      <w:snapToGrid w:val="0"/>
      <w:textAlignment w:val="bottom"/>
      <w:outlineLvl w:val="3"/>
    </w:pPr>
    <w:rPr>
      <w:rFonts w:ascii="Arial" w:hAnsi="Arial" w:eastAsia="宋体"/>
      <w:color w:val="000000"/>
      <w:spacing w:val="10"/>
      <w:sz w:val="24"/>
    </w:rPr>
  </w:style>
  <w:style w:type="paragraph" w:styleId="6">
    <w:name w:val="heading 5"/>
    <w:basedOn w:val="1"/>
    <w:next w:val="1"/>
    <w:link w:val="21"/>
    <w:semiHidden/>
    <w:unhideWhenUsed/>
    <w:qFormat/>
    <w:uiPriority w:val="0"/>
    <w:pPr>
      <w:keepNext/>
      <w:keepLines/>
      <w:numPr>
        <w:ilvl w:val="4"/>
        <w:numId w:val="1"/>
      </w:numPr>
      <w:adjustRightInd w:val="0"/>
      <w:snapToGrid w:val="0"/>
      <w:spacing w:line="360" w:lineRule="auto"/>
      <w:outlineLvl w:val="4"/>
    </w:pPr>
    <w:rPr>
      <w:rFonts w:ascii="Calibri" w:hAnsi="Calibri" w:eastAsia="宋体"/>
      <w:bCs/>
      <w:sz w:val="24"/>
      <w:szCs w:val="28"/>
    </w:rPr>
  </w:style>
  <w:style w:type="paragraph" w:styleId="7">
    <w:name w:val="heading 6"/>
    <w:basedOn w:val="1"/>
    <w:next w:val="1"/>
    <w:link w:val="22"/>
    <w:semiHidden/>
    <w:unhideWhenUsed/>
    <w:qFormat/>
    <w:uiPriority w:val="0"/>
    <w:pPr>
      <w:keepNext/>
      <w:keepLines/>
      <w:numPr>
        <w:ilvl w:val="5"/>
        <w:numId w:val="1"/>
      </w:numPr>
      <w:spacing w:before="240" w:after="64" w:line="320" w:lineRule="auto"/>
      <w:outlineLvl w:val="5"/>
    </w:pPr>
    <w:rPr>
      <w:rFonts w:ascii="等线 Light" w:hAnsi="等线 Light" w:eastAsia="宋体" w:cs="Times New Roman"/>
      <w:bCs/>
      <w:sz w:val="24"/>
    </w:rPr>
  </w:style>
  <w:style w:type="paragraph" w:styleId="8">
    <w:name w:val="heading 7"/>
    <w:basedOn w:val="1"/>
    <w:next w:val="1"/>
    <w:semiHidden/>
    <w:unhideWhenUsed/>
    <w:qFormat/>
    <w:uiPriority w:val="0"/>
    <w:pPr>
      <w:keepNext/>
      <w:keepLines/>
      <w:numPr>
        <w:ilvl w:val="6"/>
        <w:numId w:val="2"/>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2"/>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6">
    <w:name w:val="Default Paragraph Font"/>
    <w:unhideWhenUsed/>
    <w:qFormat/>
    <w:uiPriority w:val="1"/>
  </w:style>
  <w:style w:type="table" w:default="1" w:styleId="15">
    <w:name w:val="Normal Table"/>
    <w:semiHidden/>
    <w:uiPriority w:val="0"/>
    <w:tblPr>
      <w:tblCellMar>
        <w:top w:w="0" w:type="dxa"/>
        <w:left w:w="108" w:type="dxa"/>
        <w:bottom w:w="0" w:type="dxa"/>
        <w:right w:w="108" w:type="dxa"/>
      </w:tblCellMar>
    </w:tbl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rPr>
      <w:rFonts w:ascii="Calibri" w:hAnsi="Calibri" w:eastAsia="宋体"/>
      <w:b/>
      <w:color w:val="4874CB" w:themeColor="accent1"/>
      <w:sz w:val="24"/>
      <w14:textFill>
        <w14:solidFill>
          <w14:schemeClr w14:val="accent1"/>
        </w14:solidFill>
      </w14:textFill>
    </w:rPr>
  </w:style>
  <w:style w:type="paragraph" w:styleId="14">
    <w:name w:val="toc 2"/>
    <w:basedOn w:val="1"/>
    <w:next w:val="1"/>
    <w:qFormat/>
    <w:uiPriority w:val="0"/>
    <w:pPr>
      <w:adjustRightInd w:val="0"/>
      <w:snapToGrid w:val="0"/>
      <w:ind w:left="283" w:firstLine="880" w:firstLineChars="200"/>
    </w:pPr>
    <w:rPr>
      <w:rFonts w:eastAsia="宋体" w:asciiTheme="minorAscii" w:hAnsiTheme="minorAscii" w:cstheme="minorBidi"/>
      <w:sz w:val="24"/>
      <w:szCs w:val="22"/>
    </w:rPr>
  </w:style>
  <w:style w:type="character" w:customStyle="1" w:styleId="17">
    <w:name w:val="标题 1 字符"/>
    <w:basedOn w:val="16"/>
    <w:link w:val="2"/>
    <w:qFormat/>
    <w:uiPriority w:val="9"/>
    <w:rPr>
      <w:rFonts w:ascii="Calibri" w:hAnsi="Calibri" w:eastAsia="宋体"/>
      <w:b/>
      <w:kern w:val="44"/>
      <w:sz w:val="28"/>
    </w:rPr>
  </w:style>
  <w:style w:type="character" w:customStyle="1" w:styleId="18">
    <w:name w:val="标题 2 字符"/>
    <w:basedOn w:val="16"/>
    <w:link w:val="3"/>
    <w:qFormat/>
    <w:uiPriority w:val="99"/>
    <w:rPr>
      <w:rFonts w:ascii="Arial" w:hAnsi="Arial" w:eastAsia="宋体" w:cs="宋体"/>
      <w:b/>
      <w:bCs/>
      <w:color w:val="000000"/>
      <w:kern w:val="2"/>
      <w:sz w:val="24"/>
      <w:szCs w:val="24"/>
      <w:lang w:eastAsia="en-US"/>
    </w:rPr>
  </w:style>
  <w:style w:type="character" w:customStyle="1" w:styleId="19">
    <w:name w:val="标题 3 字符"/>
    <w:basedOn w:val="16"/>
    <w:link w:val="4"/>
    <w:qFormat/>
    <w:uiPriority w:val="99"/>
    <w:rPr>
      <w:rFonts w:ascii="Calibri" w:hAnsi="Calibri" w:eastAsia="宋体" w:cs="宋体"/>
      <w:b/>
      <w:bCs/>
      <w:color w:val="000000"/>
      <w:sz w:val="24"/>
      <w:szCs w:val="24"/>
    </w:rPr>
  </w:style>
  <w:style w:type="character" w:customStyle="1" w:styleId="20">
    <w:name w:val="标题 4 字符1"/>
    <w:link w:val="5"/>
    <w:qFormat/>
    <w:uiPriority w:val="9"/>
    <w:rPr>
      <w:rFonts w:ascii="Arial" w:hAnsi="Arial" w:eastAsia="宋体" w:cs="宋体"/>
      <w:b/>
      <w:color w:val="000000"/>
      <w:sz w:val="24"/>
      <w:szCs w:val="28"/>
      <w:lang w:val="en-US" w:eastAsia="zh-CN" w:bidi="ar-SA"/>
    </w:rPr>
  </w:style>
  <w:style w:type="character" w:customStyle="1" w:styleId="21">
    <w:name w:val="标题 5 Char"/>
    <w:link w:val="6"/>
    <w:qFormat/>
    <w:uiPriority w:val="0"/>
    <w:rPr>
      <w:rFonts w:ascii="Calibri" w:hAnsi="Calibri" w:eastAsia="宋体"/>
      <w:bCs/>
      <w:kern w:val="2"/>
      <w:sz w:val="24"/>
      <w:szCs w:val="28"/>
    </w:rPr>
  </w:style>
  <w:style w:type="character" w:customStyle="1" w:styleId="22">
    <w:name w:val="标题 6 字符"/>
    <w:basedOn w:val="16"/>
    <w:link w:val="7"/>
    <w:qFormat/>
    <w:uiPriority w:val="0"/>
    <w:rPr>
      <w:rFonts w:ascii="等线 Light" w:hAnsi="等线 Light" w:eastAsia="宋体" w:cs="Times New Roman"/>
      <w:bCs/>
      <w:kern w:val="2"/>
      <w:sz w:val="24"/>
      <w:szCs w:val="24"/>
    </w:rPr>
  </w:style>
  <w:style w:type="character" w:customStyle="1" w:styleId="23">
    <w:name w:val="font11"/>
    <w:basedOn w:val="16"/>
    <w:qFormat/>
    <w:uiPriority w:val="0"/>
    <w:rPr>
      <w:rFonts w:hint="eastAsia" w:ascii="微软雅黑" w:hAnsi="微软雅黑" w:eastAsia="微软雅黑" w:cs="微软雅黑"/>
      <w:b/>
      <w:bCs/>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1979</Words>
  <Characters>2530</Characters>
  <Lines>0</Lines>
  <Paragraphs>0</Paragraphs>
  <TotalTime>172</TotalTime>
  <ScaleCrop>false</ScaleCrop>
  <LinksUpToDate>false</LinksUpToDate>
  <CharactersWithSpaces>2534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2025-08-09T08:48:00Z</dcterms:created>
  <dc:creator>朱崇伟</dc:creator>
  <cp:lastModifiedBy>朱崇伟</cp:lastModifiedBy>
  <dcterms:modified xsi:type="dcterms:W3CDTF">2025-08-11T03:24:14Z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E1A81797E4814A48877FFDDA941596FC_11</vt:lpwstr>
  </property>
  <property fmtid="{D5CDD505-2E9C-101B-9397-08002B2CF9AE}" pid="4" name="KSOTemplateDocerSaveRecord">
    <vt:lpwstr>eyJoZGlkIjoiYjkyZmNhZmMwYTRkMzdjNDc0ZDBiODA4ZTNmNjg2YzYiLCJ1c2VySWQiOiI0MzgxMzUzMTYifQ==</vt:lpwstr>
  </property>
</Properties>
</file>